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2976"/>
        <w:gridCol w:w="680"/>
        <w:gridCol w:w="1588"/>
        <w:gridCol w:w="1874"/>
      </w:tblGrid>
      <w:tr w:rsidR="006B34D2" w14:paraId="17B3BD17" w14:textId="77777777" w:rsidTr="003C1FAB">
        <w:tc>
          <w:tcPr>
            <w:tcW w:w="336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5D22E771" w14:textId="77777777" w:rsidR="006B34D2" w:rsidRPr="00581D31" w:rsidRDefault="006B34D2" w:rsidP="008260D7">
            <w:pPr>
              <w:pStyle w:val="Heading2"/>
              <w:rPr>
                <w:rFonts w:ascii="Verdana" w:hAnsi="Verdana"/>
                <w:b/>
                <w:bCs/>
                <w:sz w:val="22"/>
                <w:szCs w:val="22"/>
              </w:rPr>
            </w:pPr>
            <w:r w:rsidRPr="00581D31">
              <w:rPr>
                <w:rFonts w:ascii="Verdana" w:hAnsi="Verdana"/>
                <w:b/>
                <w:bCs/>
                <w:color w:val="auto"/>
                <w:sz w:val="22"/>
                <w:szCs w:val="22"/>
              </w:rPr>
              <w:t>Programme Title and Name of Award</w:t>
            </w:r>
          </w:p>
        </w:tc>
        <w:tc>
          <w:tcPr>
            <w:tcW w:w="7118" w:type="dxa"/>
            <w:gridSpan w:val="4"/>
            <w:tcBorders>
              <w:top w:val="single" w:sz="4" w:space="0" w:color="auto"/>
              <w:left w:val="single" w:sz="4" w:space="0" w:color="auto"/>
              <w:bottom w:val="single" w:sz="4" w:space="0" w:color="auto"/>
              <w:right w:val="single" w:sz="4" w:space="0" w:color="auto"/>
            </w:tcBorders>
            <w:vAlign w:val="center"/>
            <w:hideMark/>
          </w:tcPr>
          <w:p w14:paraId="214964FB" w14:textId="42A3512E" w:rsidR="006B34D2" w:rsidRDefault="00E80E44" w:rsidP="004D667C">
            <w:pPr>
              <w:spacing w:before="120" w:after="120"/>
              <w:rPr>
                <w:rFonts w:ascii="Verdana" w:hAnsi="Verdana" w:cs="Arial"/>
                <w:color w:val="FF0000"/>
                <w:sz w:val="20"/>
                <w:szCs w:val="20"/>
              </w:rPr>
            </w:pPr>
            <w:proofErr w:type="spellStart"/>
            <w:r w:rsidRPr="4D69E6E4">
              <w:rPr>
                <w:rFonts w:ascii="Verdana" w:eastAsia="Times New Roman" w:hAnsi="Verdana"/>
                <w:sz w:val="20"/>
                <w:szCs w:val="20"/>
                <w:lang w:eastAsia="en-GB"/>
              </w:rPr>
              <w:t>UAwd</w:t>
            </w:r>
            <w:proofErr w:type="spellEnd"/>
            <w:r w:rsidRPr="4D69E6E4">
              <w:rPr>
                <w:rFonts w:ascii="Verdana" w:eastAsia="Times New Roman" w:hAnsi="Verdana"/>
                <w:sz w:val="20"/>
                <w:szCs w:val="20"/>
                <w:lang w:eastAsia="en-GB"/>
              </w:rPr>
              <w:t xml:space="preserve"> Independent Prescribing for Pharmacists </w:t>
            </w:r>
            <w:r w:rsidR="0013388A" w:rsidRPr="4D69E6E4">
              <w:rPr>
                <w:rFonts w:ascii="Verdana" w:eastAsia="Times New Roman" w:hAnsi="Verdana"/>
                <w:sz w:val="20"/>
                <w:szCs w:val="20"/>
                <w:lang w:eastAsia="en-GB"/>
              </w:rPr>
              <w:t>(Practice Certificate in Independent Prescribing)</w:t>
            </w:r>
          </w:p>
        </w:tc>
      </w:tr>
      <w:tr w:rsidR="006B34D2" w14:paraId="41AEB509" w14:textId="77777777" w:rsidTr="003C1FAB">
        <w:tc>
          <w:tcPr>
            <w:tcW w:w="336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6569CEE7" w14:textId="77777777" w:rsidR="006B34D2" w:rsidRDefault="006B34D2" w:rsidP="004D667C">
            <w:pPr>
              <w:spacing w:before="120" w:after="120"/>
              <w:rPr>
                <w:rFonts w:ascii="Verdana" w:hAnsi="Verdana" w:cs="Arial"/>
                <w:b/>
                <w:szCs w:val="20"/>
              </w:rPr>
            </w:pPr>
            <w:r>
              <w:rPr>
                <w:rFonts w:ascii="Verdana" w:hAnsi="Verdana" w:cs="Arial"/>
                <w:b/>
                <w:szCs w:val="20"/>
              </w:rPr>
              <w:t>Academic Level</w:t>
            </w:r>
          </w:p>
        </w:tc>
        <w:sdt>
          <w:sdtPr>
            <w:rPr>
              <w:rFonts w:ascii="Verdana" w:hAnsi="Verdana" w:cs="Arial"/>
              <w:sz w:val="20"/>
              <w:szCs w:val="20"/>
            </w:rPr>
            <w:id w:val="-825589557"/>
            <w:placeholder>
              <w:docPart w:val="DefaultPlaceholder_-1854013438"/>
            </w:placeholder>
            <w:dropDownList>
              <w:listItem w:value="Choose an item."/>
              <w:listItem w:displayText="3" w:value="3"/>
              <w:listItem w:displayText="4" w:value="4"/>
              <w:listItem w:displayText="5" w:value="5"/>
              <w:listItem w:displayText="6" w:value="6"/>
              <w:listItem w:displayText="7" w:value="7"/>
            </w:dropDownList>
          </w:sdtPr>
          <w:sdtContent>
            <w:tc>
              <w:tcPr>
                <w:tcW w:w="2976" w:type="dxa"/>
                <w:tcBorders>
                  <w:top w:val="single" w:sz="4" w:space="0" w:color="auto"/>
                  <w:left w:val="single" w:sz="4" w:space="0" w:color="auto"/>
                  <w:bottom w:val="single" w:sz="4" w:space="0" w:color="auto"/>
                  <w:right w:val="single" w:sz="4" w:space="0" w:color="auto"/>
                </w:tcBorders>
                <w:vAlign w:val="center"/>
              </w:tcPr>
              <w:p w14:paraId="273372EC" w14:textId="149DDE37" w:rsidR="006B34D2" w:rsidRDefault="00E80E44" w:rsidP="004D667C">
                <w:pPr>
                  <w:spacing w:before="120" w:after="120"/>
                  <w:rPr>
                    <w:rFonts w:ascii="Verdana" w:hAnsi="Verdana" w:cs="Arial"/>
                    <w:sz w:val="20"/>
                    <w:szCs w:val="20"/>
                  </w:rPr>
                </w:pPr>
                <w:r>
                  <w:rPr>
                    <w:rFonts w:ascii="Verdana" w:hAnsi="Verdana" w:cs="Arial"/>
                    <w:sz w:val="20"/>
                    <w:szCs w:val="20"/>
                  </w:rPr>
                  <w:t>7</w:t>
                </w:r>
              </w:p>
            </w:tc>
          </w:sdtContent>
        </w:sdt>
        <w:tc>
          <w:tcPr>
            <w:tcW w:w="2268"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14:paraId="7BCC9D00" w14:textId="77777777" w:rsidR="006B34D2" w:rsidRDefault="006B34D2" w:rsidP="004D667C">
            <w:pPr>
              <w:spacing w:before="120" w:after="120"/>
              <w:rPr>
                <w:rFonts w:ascii="Verdana" w:hAnsi="Verdana" w:cs="Arial"/>
                <w:b/>
                <w:szCs w:val="20"/>
              </w:rPr>
            </w:pPr>
            <w:r>
              <w:rPr>
                <w:rFonts w:ascii="Verdana" w:hAnsi="Verdana" w:cs="Arial"/>
                <w:b/>
                <w:szCs w:val="20"/>
              </w:rPr>
              <w:t>Total Credits</w:t>
            </w:r>
          </w:p>
        </w:tc>
        <w:tc>
          <w:tcPr>
            <w:tcW w:w="1874" w:type="dxa"/>
            <w:tcBorders>
              <w:top w:val="single" w:sz="4" w:space="0" w:color="auto"/>
              <w:left w:val="single" w:sz="4" w:space="0" w:color="auto"/>
              <w:bottom w:val="single" w:sz="4" w:space="0" w:color="auto"/>
              <w:right w:val="single" w:sz="4" w:space="0" w:color="auto"/>
            </w:tcBorders>
            <w:vAlign w:val="center"/>
          </w:tcPr>
          <w:p w14:paraId="73AFFDF6" w14:textId="68524ED7" w:rsidR="006B34D2" w:rsidRDefault="00E80E44" w:rsidP="004D667C">
            <w:pPr>
              <w:spacing w:before="120" w:after="120"/>
              <w:rPr>
                <w:rFonts w:ascii="Verdana" w:hAnsi="Verdana" w:cs="Arial"/>
                <w:sz w:val="20"/>
                <w:szCs w:val="20"/>
              </w:rPr>
            </w:pPr>
            <w:r>
              <w:rPr>
                <w:rFonts w:ascii="Verdana" w:hAnsi="Verdana" w:cs="Arial"/>
                <w:sz w:val="20"/>
                <w:szCs w:val="20"/>
              </w:rPr>
              <w:t>40</w:t>
            </w:r>
          </w:p>
        </w:tc>
      </w:tr>
      <w:tr w:rsidR="006B34D2" w14:paraId="51709DC0" w14:textId="77777777" w:rsidTr="003C1FAB">
        <w:trPr>
          <w:trHeight w:val="881"/>
        </w:trPr>
        <w:tc>
          <w:tcPr>
            <w:tcW w:w="336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6663FF0C" w14:textId="77777777" w:rsidR="006B34D2" w:rsidRDefault="006B34D2" w:rsidP="004D667C">
            <w:pPr>
              <w:spacing w:before="120" w:after="120"/>
              <w:rPr>
                <w:rFonts w:ascii="Verdana" w:hAnsi="Verdana" w:cs="Arial"/>
                <w:b/>
                <w:szCs w:val="20"/>
              </w:rPr>
            </w:pPr>
            <w:r>
              <w:rPr>
                <w:rFonts w:ascii="Verdana" w:hAnsi="Verdana" w:cs="Arial"/>
                <w:b/>
                <w:szCs w:val="20"/>
              </w:rPr>
              <w:t>Professional Body Accreditation / Qualification</w:t>
            </w:r>
          </w:p>
        </w:tc>
        <w:tc>
          <w:tcPr>
            <w:tcW w:w="7118" w:type="dxa"/>
            <w:gridSpan w:val="4"/>
            <w:tcBorders>
              <w:top w:val="single" w:sz="4" w:space="0" w:color="auto"/>
              <w:left w:val="single" w:sz="4" w:space="0" w:color="auto"/>
              <w:bottom w:val="single" w:sz="4" w:space="0" w:color="auto"/>
              <w:right w:val="single" w:sz="4" w:space="0" w:color="auto"/>
            </w:tcBorders>
            <w:vAlign w:val="center"/>
            <w:hideMark/>
          </w:tcPr>
          <w:p w14:paraId="169446E6" w14:textId="72D7ECAD" w:rsidR="006B34D2" w:rsidRDefault="00E80E44" w:rsidP="004D667C">
            <w:pPr>
              <w:spacing w:before="120" w:after="120"/>
              <w:rPr>
                <w:rFonts w:ascii="Verdana" w:hAnsi="Verdana" w:cs="Arial"/>
                <w:color w:val="C00000"/>
                <w:sz w:val="20"/>
                <w:szCs w:val="20"/>
              </w:rPr>
            </w:pPr>
            <w:r w:rsidRPr="00236A3B">
              <w:rPr>
                <w:rFonts w:ascii="Verdana" w:eastAsia="Times New Roman" w:hAnsi="Verdana"/>
                <w:sz w:val="20"/>
                <w:szCs w:val="20"/>
                <w:lang w:eastAsia="en-GB"/>
              </w:rPr>
              <w:t>The programme prepares students to be eligible to apply for annotation to the register of the General Pharmaceutical Council</w:t>
            </w:r>
            <w:r>
              <w:rPr>
                <w:rFonts w:ascii="Verdana" w:eastAsia="Times New Roman" w:hAnsi="Verdana"/>
                <w:sz w:val="20"/>
                <w:szCs w:val="20"/>
                <w:lang w:eastAsia="en-GB"/>
              </w:rPr>
              <w:t xml:space="preserve"> </w:t>
            </w:r>
            <w:r w:rsidRPr="00236A3B">
              <w:rPr>
                <w:rFonts w:ascii="Verdana" w:eastAsia="Times New Roman" w:hAnsi="Verdana" w:cs="Tahoma"/>
                <w:sz w:val="20"/>
                <w:szCs w:val="20"/>
                <w:lang w:eastAsia="en-GB"/>
              </w:rPr>
              <w:t>(</w:t>
            </w:r>
            <w:proofErr w:type="spellStart"/>
            <w:r w:rsidRPr="00236A3B">
              <w:rPr>
                <w:rFonts w:ascii="Verdana" w:eastAsia="Times New Roman" w:hAnsi="Verdana" w:cs="Tahoma"/>
                <w:sz w:val="20"/>
                <w:szCs w:val="20"/>
                <w:lang w:eastAsia="en-GB"/>
              </w:rPr>
              <w:t>GPhC</w:t>
            </w:r>
            <w:proofErr w:type="spellEnd"/>
            <w:r w:rsidRPr="00236A3B">
              <w:rPr>
                <w:rFonts w:ascii="Verdana" w:eastAsia="Times New Roman" w:hAnsi="Verdana" w:cs="Tahoma"/>
                <w:sz w:val="20"/>
                <w:szCs w:val="20"/>
                <w:lang w:eastAsia="en-GB"/>
              </w:rPr>
              <w:t>)</w:t>
            </w:r>
            <w:r w:rsidRPr="00236A3B">
              <w:rPr>
                <w:rFonts w:ascii="Verdana" w:eastAsia="Times New Roman" w:hAnsi="Verdana"/>
                <w:sz w:val="20"/>
                <w:szCs w:val="20"/>
                <w:lang w:eastAsia="en-GB"/>
              </w:rPr>
              <w:t xml:space="preserve"> as an Independent Pharmacist </w:t>
            </w:r>
            <w:r>
              <w:rPr>
                <w:rFonts w:ascii="Verdana" w:eastAsia="Times New Roman" w:hAnsi="Verdana"/>
                <w:sz w:val="20"/>
                <w:szCs w:val="20"/>
                <w:lang w:eastAsia="en-GB"/>
              </w:rPr>
              <w:t>P</w:t>
            </w:r>
            <w:r w:rsidRPr="00236A3B">
              <w:rPr>
                <w:rFonts w:ascii="Verdana" w:eastAsia="Times New Roman" w:hAnsi="Verdana"/>
                <w:sz w:val="20"/>
                <w:szCs w:val="20"/>
                <w:lang w:eastAsia="en-GB"/>
              </w:rPr>
              <w:t>rescriber</w:t>
            </w:r>
            <w:r>
              <w:rPr>
                <w:rFonts w:ascii="Verdana" w:eastAsia="Times New Roman" w:hAnsi="Verdana"/>
                <w:sz w:val="20"/>
                <w:szCs w:val="20"/>
                <w:lang w:eastAsia="en-GB"/>
              </w:rPr>
              <w:t>.</w:t>
            </w:r>
          </w:p>
        </w:tc>
      </w:tr>
      <w:tr w:rsidR="006B34D2" w14:paraId="4F95F884" w14:textId="77777777" w:rsidTr="003C1FAB">
        <w:trPr>
          <w:trHeight w:val="881"/>
        </w:trPr>
        <w:tc>
          <w:tcPr>
            <w:tcW w:w="336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6860B16E" w14:textId="77777777" w:rsidR="006B34D2" w:rsidRDefault="006B34D2" w:rsidP="004D667C">
            <w:pPr>
              <w:spacing w:before="120" w:after="120"/>
              <w:rPr>
                <w:rFonts w:ascii="Verdana" w:hAnsi="Verdana"/>
                <w:b/>
              </w:rPr>
            </w:pPr>
            <w:r>
              <w:rPr>
                <w:rFonts w:ascii="Verdana" w:hAnsi="Verdana"/>
                <w:b/>
              </w:rPr>
              <w:t xml:space="preserve">Date of </w:t>
            </w:r>
            <w:r>
              <w:rPr>
                <w:rFonts w:ascii="Verdana" w:hAnsi="Verdana" w:cs="Arial"/>
                <w:b/>
              </w:rPr>
              <w:t>Professional Body Accreditation</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083AB44" w14:textId="7B0FCFB8" w:rsidR="006B34D2" w:rsidRDefault="00E80E44" w:rsidP="004D667C">
            <w:pPr>
              <w:spacing w:before="120" w:after="120"/>
              <w:rPr>
                <w:rFonts w:ascii="Verdana" w:hAnsi="Verdana"/>
                <w:color w:val="C00000"/>
                <w:sz w:val="20"/>
                <w:szCs w:val="20"/>
              </w:rPr>
            </w:pPr>
            <w:r w:rsidRPr="00F34767">
              <w:rPr>
                <w:rFonts w:ascii="Verdana" w:hAnsi="Verdana"/>
                <w:sz w:val="20"/>
                <w:szCs w:val="20"/>
              </w:rPr>
              <w:t>September 2022 “pending”</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14:paraId="364E3588" w14:textId="77777777" w:rsidR="006B34D2" w:rsidRDefault="006B34D2" w:rsidP="004D667C">
            <w:pPr>
              <w:spacing w:before="120" w:after="120"/>
              <w:rPr>
                <w:rFonts w:ascii="Verdana" w:hAnsi="Verdana"/>
                <w:b/>
              </w:rPr>
            </w:pPr>
            <w:r>
              <w:rPr>
                <w:rFonts w:ascii="Verdana" w:hAnsi="Verdana"/>
                <w:b/>
              </w:rPr>
              <w:t>Accreditation Period</w:t>
            </w:r>
          </w:p>
        </w:tc>
        <w:tc>
          <w:tcPr>
            <w:tcW w:w="1874" w:type="dxa"/>
            <w:tcBorders>
              <w:top w:val="single" w:sz="4" w:space="0" w:color="auto"/>
              <w:left w:val="single" w:sz="4" w:space="0" w:color="auto"/>
              <w:bottom w:val="single" w:sz="4" w:space="0" w:color="auto"/>
              <w:right w:val="single" w:sz="4" w:space="0" w:color="auto"/>
            </w:tcBorders>
            <w:vAlign w:val="center"/>
            <w:hideMark/>
          </w:tcPr>
          <w:p w14:paraId="71687679" w14:textId="343FD3BD" w:rsidR="006B34D2" w:rsidRDefault="00F34767" w:rsidP="004D667C">
            <w:pPr>
              <w:spacing w:before="120" w:after="120"/>
              <w:rPr>
                <w:rFonts w:ascii="Verdana" w:hAnsi="Verdana"/>
                <w:color w:val="C00000"/>
                <w:sz w:val="20"/>
                <w:szCs w:val="20"/>
              </w:rPr>
            </w:pPr>
            <w:r w:rsidRPr="00F34767">
              <w:rPr>
                <w:rFonts w:ascii="Verdana" w:hAnsi="Verdana"/>
                <w:sz w:val="20"/>
                <w:szCs w:val="20"/>
              </w:rPr>
              <w:t>September 2022 to August 2025 pending</w:t>
            </w:r>
          </w:p>
        </w:tc>
      </w:tr>
      <w:tr w:rsidR="006B34D2" w14:paraId="3FE4B99C" w14:textId="77777777" w:rsidTr="003C1FAB">
        <w:trPr>
          <w:trHeight w:val="881"/>
        </w:trPr>
        <w:tc>
          <w:tcPr>
            <w:tcW w:w="336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476BC3D5" w14:textId="77777777" w:rsidR="006B34D2" w:rsidRDefault="006B34D2" w:rsidP="004D667C">
            <w:pPr>
              <w:spacing w:before="120" w:after="120"/>
              <w:rPr>
                <w:rFonts w:ascii="Verdana" w:hAnsi="Verdana" w:cs="Arial"/>
                <w:b/>
                <w:szCs w:val="20"/>
              </w:rPr>
            </w:pPr>
            <w:r>
              <w:rPr>
                <w:rFonts w:ascii="Verdana" w:hAnsi="Verdana" w:cs="Arial"/>
                <w:b/>
                <w:szCs w:val="20"/>
              </w:rPr>
              <w:t>UCAS Code</w:t>
            </w:r>
          </w:p>
        </w:tc>
        <w:tc>
          <w:tcPr>
            <w:tcW w:w="7118" w:type="dxa"/>
            <w:gridSpan w:val="4"/>
            <w:tcBorders>
              <w:top w:val="single" w:sz="4" w:space="0" w:color="auto"/>
              <w:left w:val="single" w:sz="4" w:space="0" w:color="auto"/>
              <w:bottom w:val="single" w:sz="4" w:space="0" w:color="auto"/>
              <w:right w:val="single" w:sz="4" w:space="0" w:color="auto"/>
            </w:tcBorders>
            <w:vAlign w:val="center"/>
            <w:hideMark/>
          </w:tcPr>
          <w:p w14:paraId="0C44A117" w14:textId="6B29809D" w:rsidR="006B34D2" w:rsidRPr="00F34767" w:rsidRDefault="00F34767" w:rsidP="004D667C">
            <w:pPr>
              <w:spacing w:before="120" w:after="120"/>
              <w:rPr>
                <w:rFonts w:ascii="Verdana" w:hAnsi="Verdana" w:cs="Arial"/>
                <w:sz w:val="20"/>
                <w:szCs w:val="20"/>
              </w:rPr>
            </w:pPr>
            <w:r w:rsidRPr="00F34767">
              <w:rPr>
                <w:rFonts w:ascii="Verdana" w:hAnsi="Verdana" w:cs="Arial"/>
                <w:sz w:val="20"/>
                <w:szCs w:val="20"/>
              </w:rPr>
              <w:t>Not applicable</w:t>
            </w:r>
          </w:p>
        </w:tc>
      </w:tr>
      <w:tr w:rsidR="006B34D2" w14:paraId="51090F67" w14:textId="77777777" w:rsidTr="003C1FAB">
        <w:tc>
          <w:tcPr>
            <w:tcW w:w="336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44B16FBC" w14:textId="77777777" w:rsidR="006B34D2" w:rsidRDefault="006B34D2" w:rsidP="004D667C">
            <w:pPr>
              <w:spacing w:before="120" w:after="120"/>
              <w:rPr>
                <w:rFonts w:ascii="Verdana" w:hAnsi="Verdana" w:cs="Arial"/>
                <w:b/>
                <w:szCs w:val="20"/>
              </w:rPr>
            </w:pPr>
            <w:proofErr w:type="spellStart"/>
            <w:r>
              <w:rPr>
                <w:rFonts w:ascii="Verdana" w:hAnsi="Verdana" w:cs="Arial"/>
                <w:b/>
                <w:szCs w:val="20"/>
              </w:rPr>
              <w:t>HECoS</w:t>
            </w:r>
            <w:proofErr w:type="spellEnd"/>
            <w:r>
              <w:rPr>
                <w:rFonts w:ascii="Verdana" w:hAnsi="Verdana" w:cs="Arial"/>
                <w:b/>
                <w:szCs w:val="20"/>
              </w:rPr>
              <w:t xml:space="preserve"> Code</w:t>
            </w:r>
          </w:p>
        </w:tc>
        <w:tc>
          <w:tcPr>
            <w:tcW w:w="7118" w:type="dxa"/>
            <w:gridSpan w:val="4"/>
            <w:tcBorders>
              <w:top w:val="single" w:sz="4" w:space="0" w:color="auto"/>
              <w:left w:val="single" w:sz="4" w:space="0" w:color="auto"/>
              <w:bottom w:val="single" w:sz="4" w:space="0" w:color="auto"/>
              <w:right w:val="single" w:sz="4" w:space="0" w:color="auto"/>
            </w:tcBorders>
            <w:vAlign w:val="center"/>
            <w:hideMark/>
          </w:tcPr>
          <w:p w14:paraId="661865DF" w14:textId="4573AF82" w:rsidR="006B34D2" w:rsidRPr="00F34767" w:rsidRDefault="00F34767" w:rsidP="004D667C">
            <w:pPr>
              <w:spacing w:before="120" w:after="120"/>
              <w:rPr>
                <w:rFonts w:ascii="Verdana" w:hAnsi="Verdana" w:cs="Arial"/>
                <w:color w:val="C00000"/>
                <w:sz w:val="20"/>
                <w:szCs w:val="20"/>
              </w:rPr>
            </w:pPr>
            <w:r w:rsidRPr="00F34767">
              <w:rPr>
                <w:rFonts w:ascii="Verdana" w:hAnsi="Verdana" w:cs="Arial"/>
                <w:sz w:val="20"/>
                <w:szCs w:val="20"/>
              </w:rPr>
              <w:t>100246</w:t>
            </w:r>
          </w:p>
        </w:tc>
      </w:tr>
      <w:tr w:rsidR="006B34D2" w14:paraId="5B96C6EB" w14:textId="77777777" w:rsidTr="003C1FAB">
        <w:tc>
          <w:tcPr>
            <w:tcW w:w="336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63A0B1C4" w14:textId="77777777" w:rsidR="006B34D2" w:rsidRDefault="006B34D2" w:rsidP="004D667C">
            <w:pPr>
              <w:spacing w:before="120" w:after="120"/>
              <w:rPr>
                <w:rFonts w:ascii="Verdana" w:hAnsi="Verdana" w:cs="Arial"/>
                <w:b/>
                <w:szCs w:val="20"/>
              </w:rPr>
            </w:pPr>
            <w:r>
              <w:rPr>
                <w:rFonts w:ascii="Verdana" w:hAnsi="Verdana" w:cs="Arial"/>
                <w:b/>
                <w:szCs w:val="20"/>
              </w:rPr>
              <w:t>Criteria for Admission to the Programme</w:t>
            </w:r>
          </w:p>
        </w:tc>
        <w:tc>
          <w:tcPr>
            <w:tcW w:w="7118" w:type="dxa"/>
            <w:gridSpan w:val="4"/>
            <w:tcBorders>
              <w:top w:val="single" w:sz="4" w:space="0" w:color="auto"/>
              <w:left w:val="single" w:sz="4" w:space="0" w:color="auto"/>
              <w:bottom w:val="single" w:sz="4" w:space="0" w:color="auto"/>
              <w:right w:val="single" w:sz="4" w:space="0" w:color="auto"/>
            </w:tcBorders>
            <w:vAlign w:val="center"/>
            <w:hideMark/>
          </w:tcPr>
          <w:p w14:paraId="26D093C2" w14:textId="08EE2CDD" w:rsidR="006B34D2" w:rsidRDefault="006B34D2" w:rsidP="004D667C">
            <w:pPr>
              <w:spacing w:before="120" w:after="120"/>
              <w:rPr>
                <w:rFonts w:ascii="Verdana" w:hAnsi="Verdana" w:cs="Arial"/>
                <w:color w:val="C00000"/>
                <w:sz w:val="20"/>
                <w:szCs w:val="20"/>
              </w:rPr>
            </w:pPr>
            <w:r w:rsidRPr="7930AD80">
              <w:rPr>
                <w:rFonts w:ascii="Verdana" w:hAnsi="Verdana" w:cs="Arial"/>
                <w:sz w:val="20"/>
                <w:szCs w:val="20"/>
              </w:rPr>
              <w:t xml:space="preserve">The University’s standard criteria for admissions apply.  Please refer to the </w:t>
            </w:r>
            <w:hyperlink r:id="rId12">
              <w:r w:rsidR="2EBF5BE3" w:rsidRPr="7930AD80">
                <w:rPr>
                  <w:rStyle w:val="Hyperlink"/>
                  <w:rFonts w:ascii="Verdana" w:eastAsia="Verdana" w:hAnsi="Verdana" w:cs="Verdana"/>
                  <w:sz w:val="20"/>
                  <w:szCs w:val="20"/>
                </w:rPr>
                <w:t>Application Information</w:t>
              </w:r>
            </w:hyperlink>
            <w:r w:rsidR="2EBF5BE3" w:rsidRPr="7930AD80">
              <w:rPr>
                <w:rFonts w:ascii="Verdana" w:eastAsia="Verdana" w:hAnsi="Verdana" w:cs="Verdana"/>
                <w:sz w:val="20"/>
                <w:szCs w:val="20"/>
              </w:rPr>
              <w:t xml:space="preserve"> </w:t>
            </w:r>
            <w:r w:rsidRPr="7930AD80">
              <w:rPr>
                <w:rFonts w:ascii="Verdana" w:hAnsi="Verdana" w:cs="Arial"/>
                <w:sz w:val="20"/>
                <w:szCs w:val="20"/>
              </w:rPr>
              <w:t xml:space="preserve">pages of the University website for more information.  For </w:t>
            </w:r>
            <w:hyperlink r:id="rId13">
              <w:r w:rsidRPr="7930AD80">
                <w:rPr>
                  <w:rStyle w:val="Hyperlink"/>
                  <w:rFonts w:ascii="Verdana" w:hAnsi="Verdana" w:cs="Arial"/>
                  <w:color w:val="auto"/>
                  <w:sz w:val="20"/>
                  <w:szCs w:val="20"/>
                </w:rPr>
                <w:t>APL</w:t>
              </w:r>
            </w:hyperlink>
            <w:r w:rsidRPr="7930AD80">
              <w:rPr>
                <w:rFonts w:ascii="Verdana" w:hAnsi="Verdana" w:cs="Arial"/>
                <w:sz w:val="20"/>
                <w:szCs w:val="20"/>
              </w:rPr>
              <w:t xml:space="preserve">, please refer to the University website.  </w:t>
            </w:r>
            <w:r w:rsidR="390E8929" w:rsidRPr="7930AD80">
              <w:rPr>
                <w:rFonts w:ascii="Verdana" w:hAnsi="Verdana" w:cs="Arial"/>
                <w:sz w:val="20"/>
                <w:szCs w:val="20"/>
              </w:rPr>
              <w:t>Accreditation of prior learning is not permitted for entry to the programme. All assessments must be undertaken and successfully completed.</w:t>
            </w:r>
          </w:p>
          <w:p w14:paraId="4A20B84F" w14:textId="21C55A23" w:rsidR="00F34767" w:rsidRDefault="006B34D2" w:rsidP="004D667C">
            <w:pPr>
              <w:spacing w:before="120" w:after="120"/>
              <w:rPr>
                <w:rFonts w:ascii="Verdana" w:hAnsi="Verdana" w:cs="Arial"/>
                <w:sz w:val="20"/>
                <w:szCs w:val="20"/>
              </w:rPr>
            </w:pPr>
            <w:r>
              <w:rPr>
                <w:rFonts w:ascii="Verdana" w:hAnsi="Verdana" w:cs="Arial"/>
                <w:sz w:val="20"/>
                <w:szCs w:val="20"/>
              </w:rPr>
              <w:t xml:space="preserve">Detailed criteria for admission to this programme can be found on the programme webpage: </w:t>
            </w:r>
            <w:hyperlink r:id="rId14">
              <w:r w:rsidR="00B056BB" w:rsidRPr="7930AD80">
                <w:rPr>
                  <w:rStyle w:val="Hyperlink"/>
                  <w:rFonts w:ascii="Verdana" w:eastAsia="Verdana" w:hAnsi="Verdana" w:cs="Verdana"/>
                  <w:sz w:val="20"/>
                  <w:szCs w:val="20"/>
                </w:rPr>
                <w:t>Independent Prescribing for Pharmacists (Practice Certificate in Independent Prescribing) - Level 7 | University of Cumbria</w:t>
              </w:r>
            </w:hyperlink>
          </w:p>
          <w:p w14:paraId="24FD012A" w14:textId="77777777" w:rsidR="00F34767" w:rsidRPr="00F34767" w:rsidRDefault="00F34767" w:rsidP="004D667C">
            <w:pPr>
              <w:spacing w:before="120" w:after="120"/>
              <w:rPr>
                <w:rFonts w:ascii="Verdana" w:hAnsi="Verdana" w:cs="Arial"/>
                <w:sz w:val="20"/>
                <w:szCs w:val="20"/>
              </w:rPr>
            </w:pPr>
            <w:r w:rsidRPr="00F34767">
              <w:rPr>
                <w:rFonts w:ascii="Verdana" w:hAnsi="Verdana" w:cs="Arial"/>
                <w:sz w:val="20"/>
                <w:szCs w:val="20"/>
              </w:rPr>
              <w:t xml:space="preserve">The following additional requirements apply for entry to this programme: </w:t>
            </w:r>
          </w:p>
          <w:p w14:paraId="19225CA3" w14:textId="77777777" w:rsidR="00F34767" w:rsidRPr="00F34767" w:rsidRDefault="00F34767" w:rsidP="004D667C">
            <w:pPr>
              <w:numPr>
                <w:ilvl w:val="0"/>
                <w:numId w:val="24"/>
              </w:numPr>
              <w:spacing w:before="120" w:after="120"/>
              <w:rPr>
                <w:rFonts w:ascii="Verdana" w:hAnsi="Verdana" w:cs="Arial"/>
                <w:sz w:val="20"/>
                <w:szCs w:val="20"/>
              </w:rPr>
            </w:pPr>
            <w:r w:rsidRPr="00F34767">
              <w:rPr>
                <w:rFonts w:ascii="Verdana" w:hAnsi="Verdana" w:cs="Arial"/>
                <w:sz w:val="20"/>
                <w:szCs w:val="20"/>
              </w:rPr>
              <w:t xml:space="preserve">Applicants must fully complete the Non-Medical Prescribing application form, and satisfactorily meet the criteria identified therein. Applications will be reviewed on an individual basis. </w:t>
            </w:r>
          </w:p>
          <w:p w14:paraId="56488B6A" w14:textId="77777777" w:rsidR="00F34767" w:rsidRPr="00F34767" w:rsidRDefault="00F34767" w:rsidP="004D667C">
            <w:pPr>
              <w:numPr>
                <w:ilvl w:val="0"/>
                <w:numId w:val="24"/>
              </w:numPr>
              <w:spacing w:before="120" w:after="120"/>
              <w:rPr>
                <w:rFonts w:ascii="Verdana" w:hAnsi="Verdana" w:cs="Arial"/>
                <w:sz w:val="20"/>
                <w:szCs w:val="20"/>
              </w:rPr>
            </w:pPr>
            <w:r w:rsidRPr="00F34767">
              <w:rPr>
                <w:rFonts w:ascii="Verdana" w:hAnsi="Verdana" w:cs="Arial"/>
                <w:sz w:val="20"/>
                <w:szCs w:val="20"/>
              </w:rPr>
              <w:t>Applicants</w:t>
            </w:r>
            <w:r w:rsidRPr="00F34767">
              <w:rPr>
                <w:rFonts w:ascii="Verdana" w:hAnsi="Verdana" w:cs="Arial"/>
                <w:sz w:val="20"/>
                <w:szCs w:val="20"/>
                <w:lang w:val="en-US"/>
              </w:rPr>
              <w:t xml:space="preserve"> must be registered with the General Pharmaceutical Council – this will be checked on receipt of the application form, applicants with a record of fitness to practice issues are not eligible for this course.</w:t>
            </w:r>
          </w:p>
          <w:p w14:paraId="3819562C" w14:textId="77777777" w:rsidR="00F34767" w:rsidRPr="00F34767" w:rsidRDefault="00F34767" w:rsidP="004D667C">
            <w:pPr>
              <w:numPr>
                <w:ilvl w:val="0"/>
                <w:numId w:val="24"/>
              </w:numPr>
              <w:spacing w:before="120" w:after="120"/>
              <w:rPr>
                <w:rFonts w:ascii="Verdana" w:hAnsi="Verdana" w:cs="Arial"/>
                <w:sz w:val="20"/>
                <w:szCs w:val="20"/>
              </w:rPr>
            </w:pPr>
            <w:r w:rsidRPr="00F34767">
              <w:rPr>
                <w:rFonts w:ascii="Verdana" w:hAnsi="Verdana" w:cs="Arial"/>
                <w:sz w:val="20"/>
                <w:szCs w:val="20"/>
              </w:rPr>
              <w:t>Applicants must have at least two years' appropriate patient-orientated experience post registration, in a relevant UK practice setting.</w:t>
            </w:r>
          </w:p>
          <w:p w14:paraId="3F0BA8B5" w14:textId="77777777" w:rsidR="00F34767" w:rsidRPr="00F34767" w:rsidRDefault="00F34767" w:rsidP="004D667C">
            <w:pPr>
              <w:numPr>
                <w:ilvl w:val="0"/>
                <w:numId w:val="24"/>
              </w:numPr>
              <w:spacing w:before="120" w:after="120"/>
              <w:rPr>
                <w:rFonts w:ascii="Verdana" w:hAnsi="Verdana" w:cs="Arial"/>
                <w:sz w:val="20"/>
                <w:szCs w:val="20"/>
              </w:rPr>
            </w:pPr>
            <w:r w:rsidRPr="00F34767">
              <w:rPr>
                <w:rFonts w:ascii="Verdana" w:hAnsi="Verdana" w:cs="Arial"/>
                <w:sz w:val="20"/>
                <w:szCs w:val="20"/>
              </w:rPr>
              <w:t xml:space="preserve">Applicants are required to provide evidence of a satisfactory enhanced disclosure clearance (DBS) within three years of the programme start date. Responsibility for application to the DBS </w:t>
            </w:r>
            <w:r w:rsidRPr="00F34767">
              <w:rPr>
                <w:rFonts w:ascii="Verdana" w:hAnsi="Verdana" w:cs="Arial"/>
                <w:sz w:val="20"/>
                <w:szCs w:val="20"/>
              </w:rPr>
              <w:lastRenderedPageBreak/>
              <w:t>rests with the programme applicant and is applied for by their employer.</w:t>
            </w:r>
          </w:p>
          <w:p w14:paraId="3D53EF9C" w14:textId="77777777" w:rsidR="00F34767" w:rsidRPr="00F34767" w:rsidRDefault="00F34767" w:rsidP="004D667C">
            <w:pPr>
              <w:numPr>
                <w:ilvl w:val="0"/>
                <w:numId w:val="24"/>
              </w:numPr>
              <w:spacing w:before="120" w:after="120"/>
              <w:rPr>
                <w:rFonts w:ascii="Verdana" w:hAnsi="Verdana" w:cs="Arial"/>
                <w:sz w:val="20"/>
                <w:szCs w:val="20"/>
              </w:rPr>
            </w:pPr>
            <w:r w:rsidRPr="00F34767">
              <w:rPr>
                <w:rFonts w:ascii="Verdana" w:hAnsi="Verdana" w:cs="Arial"/>
                <w:sz w:val="20"/>
                <w:szCs w:val="20"/>
              </w:rPr>
              <w:t>Applicants have an identified area of clinical or therapeutic practice in which to develop independent prescribing practice. They must also have relevant clinical or therapeutic experience in that area, which is suitable to act as the foundation of their prescribing practice while training.</w:t>
            </w:r>
          </w:p>
          <w:p w14:paraId="581C14ED" w14:textId="0D7C6E22" w:rsidR="00F34767" w:rsidRPr="00F34767" w:rsidRDefault="390E8929" w:rsidP="004D667C">
            <w:pPr>
              <w:numPr>
                <w:ilvl w:val="0"/>
                <w:numId w:val="24"/>
              </w:numPr>
              <w:spacing w:before="120" w:after="120"/>
              <w:rPr>
                <w:rFonts w:ascii="Verdana" w:hAnsi="Verdana" w:cs="Arial"/>
                <w:sz w:val="20"/>
                <w:szCs w:val="20"/>
              </w:rPr>
            </w:pPr>
            <w:r w:rsidRPr="7930AD80">
              <w:rPr>
                <w:rFonts w:ascii="Verdana" w:hAnsi="Verdana" w:cs="Arial"/>
                <w:sz w:val="20"/>
                <w:szCs w:val="20"/>
              </w:rPr>
              <w:t xml:space="preserve">Applicants must demonstrate that they meet the </w:t>
            </w:r>
            <w:r w:rsidR="6E8A6915" w:rsidRPr="7930AD80">
              <w:rPr>
                <w:rFonts w:ascii="Verdana" w:hAnsi="Verdana" w:cs="Arial"/>
                <w:sz w:val="20"/>
                <w:szCs w:val="20"/>
              </w:rPr>
              <w:t xml:space="preserve">governance </w:t>
            </w:r>
            <w:r w:rsidRPr="7930AD80">
              <w:rPr>
                <w:rFonts w:ascii="Verdana" w:hAnsi="Verdana" w:cs="Arial"/>
                <w:sz w:val="20"/>
                <w:szCs w:val="20"/>
              </w:rPr>
              <w:t>requirements of their employing organisation/Clinical Commissioning Group (CCG).</w:t>
            </w:r>
          </w:p>
          <w:p w14:paraId="485BBF75" w14:textId="77777777" w:rsidR="00F34767" w:rsidRPr="00F34767" w:rsidRDefault="00F34767" w:rsidP="004D667C">
            <w:pPr>
              <w:numPr>
                <w:ilvl w:val="0"/>
                <w:numId w:val="24"/>
              </w:numPr>
              <w:spacing w:before="120" w:after="120"/>
              <w:rPr>
                <w:rFonts w:ascii="Verdana" w:hAnsi="Verdana" w:cs="Arial"/>
                <w:i/>
                <w:sz w:val="20"/>
                <w:szCs w:val="20"/>
              </w:rPr>
            </w:pPr>
            <w:r w:rsidRPr="00F34767">
              <w:rPr>
                <w:rFonts w:ascii="Verdana" w:hAnsi="Verdana" w:cs="Arial"/>
                <w:sz w:val="20"/>
                <w:szCs w:val="20"/>
              </w:rPr>
              <w:t xml:space="preserve">Applicants must have an identified Designated Prescribing Practitioner (DPP) who meets the criteria for eligibility as a DPP identified by the programme application form. </w:t>
            </w:r>
          </w:p>
          <w:p w14:paraId="02CCD2E9" w14:textId="77777777" w:rsidR="00F34767" w:rsidRPr="00F34767" w:rsidRDefault="00F34767" w:rsidP="004D667C">
            <w:pPr>
              <w:numPr>
                <w:ilvl w:val="0"/>
                <w:numId w:val="24"/>
              </w:numPr>
              <w:spacing w:before="120" w:after="120"/>
              <w:rPr>
                <w:rFonts w:ascii="Verdana" w:hAnsi="Verdana" w:cs="Arial"/>
                <w:i/>
                <w:sz w:val="20"/>
                <w:szCs w:val="20"/>
              </w:rPr>
            </w:pPr>
            <w:r w:rsidRPr="00F34767">
              <w:rPr>
                <w:rFonts w:ascii="Verdana" w:hAnsi="Verdana" w:cs="Arial"/>
                <w:sz w:val="20"/>
                <w:szCs w:val="20"/>
              </w:rPr>
              <w:t>The learning environment in practice is subject to an educational audit undertaken by the Designated Prescribing Practitioner. Where an applicant proposes to undertake learning in a practice environment outside a contract of employment with the placement provider, there is an expectation that adequate arrangements for indemnity insurance will be in place.</w:t>
            </w:r>
          </w:p>
          <w:p w14:paraId="500E9C80" w14:textId="06C3DB3D" w:rsidR="006B34D2" w:rsidRDefault="00F34767" w:rsidP="004D667C">
            <w:pPr>
              <w:spacing w:before="120" w:after="120"/>
              <w:rPr>
                <w:rFonts w:ascii="Verdana" w:hAnsi="Verdana" w:cs="Arial"/>
                <w:color w:val="FF0000"/>
                <w:sz w:val="20"/>
                <w:szCs w:val="20"/>
              </w:rPr>
            </w:pPr>
            <w:r w:rsidRPr="00F34767">
              <w:rPr>
                <w:rFonts w:ascii="Verdana" w:hAnsi="Verdana" w:cs="Arial"/>
                <w:sz w:val="20"/>
                <w:szCs w:val="20"/>
              </w:rPr>
              <w:t>Where it is unclear whether the applicant meets the entry requirements satisfactorily, applicants will be contacted for interview.  Advice and guidance may be given to the applicant during the interview, to ensure that they understand what is required of them for entry to the programme and successful progression whilst on the programme.</w:t>
            </w:r>
          </w:p>
        </w:tc>
      </w:tr>
      <w:tr w:rsidR="006B34D2" w14:paraId="46A56B96" w14:textId="77777777" w:rsidTr="003C1FAB">
        <w:tc>
          <w:tcPr>
            <w:tcW w:w="336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425A1F34" w14:textId="77777777" w:rsidR="006B34D2" w:rsidRDefault="006B34D2" w:rsidP="004D667C">
            <w:pPr>
              <w:spacing w:before="120" w:after="120"/>
              <w:rPr>
                <w:rFonts w:ascii="Verdana" w:hAnsi="Verdana" w:cs="Arial"/>
                <w:b/>
                <w:szCs w:val="20"/>
              </w:rPr>
            </w:pPr>
            <w:r>
              <w:rPr>
                <w:rFonts w:ascii="Verdana" w:hAnsi="Verdana" w:cs="Arial"/>
                <w:b/>
                <w:szCs w:val="20"/>
              </w:rPr>
              <w:lastRenderedPageBreak/>
              <w:t>Teaching Institution</w:t>
            </w:r>
          </w:p>
        </w:tc>
        <w:tc>
          <w:tcPr>
            <w:tcW w:w="7118" w:type="dxa"/>
            <w:gridSpan w:val="4"/>
            <w:tcBorders>
              <w:top w:val="single" w:sz="4" w:space="0" w:color="auto"/>
              <w:left w:val="single" w:sz="4" w:space="0" w:color="auto"/>
              <w:bottom w:val="single" w:sz="4" w:space="0" w:color="auto"/>
              <w:right w:val="single" w:sz="4" w:space="0" w:color="auto"/>
            </w:tcBorders>
            <w:vAlign w:val="center"/>
            <w:hideMark/>
          </w:tcPr>
          <w:p w14:paraId="166BF512" w14:textId="5021970A" w:rsidR="006B34D2" w:rsidRPr="00B3236C" w:rsidRDefault="00B3236C" w:rsidP="004D667C">
            <w:pPr>
              <w:spacing w:before="120" w:after="120"/>
              <w:rPr>
                <w:rFonts w:ascii="Verdana" w:hAnsi="Verdana" w:cs="Arial"/>
                <w:sz w:val="20"/>
                <w:szCs w:val="20"/>
              </w:rPr>
            </w:pPr>
            <w:r w:rsidRPr="00B3236C">
              <w:rPr>
                <w:rFonts w:ascii="Verdana" w:hAnsi="Verdana" w:cs="Arial"/>
                <w:sz w:val="20"/>
                <w:szCs w:val="20"/>
              </w:rPr>
              <w:t>University of Cumbria</w:t>
            </w:r>
          </w:p>
        </w:tc>
      </w:tr>
      <w:tr w:rsidR="006B34D2" w14:paraId="515E7B0C" w14:textId="77777777" w:rsidTr="003C1FAB">
        <w:tc>
          <w:tcPr>
            <w:tcW w:w="336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531D2E3C" w14:textId="77777777" w:rsidR="006B34D2" w:rsidRDefault="006B34D2" w:rsidP="004D667C">
            <w:pPr>
              <w:spacing w:before="120" w:after="120"/>
              <w:rPr>
                <w:rFonts w:ascii="Verdana" w:hAnsi="Verdana" w:cs="Arial"/>
                <w:b/>
                <w:szCs w:val="20"/>
              </w:rPr>
            </w:pPr>
            <w:r>
              <w:rPr>
                <w:rFonts w:ascii="Verdana" w:hAnsi="Verdana" w:cs="Arial"/>
                <w:b/>
                <w:szCs w:val="20"/>
              </w:rPr>
              <w:t>Owning Institute</w:t>
            </w:r>
          </w:p>
        </w:tc>
        <w:tc>
          <w:tcPr>
            <w:tcW w:w="7118" w:type="dxa"/>
            <w:gridSpan w:val="4"/>
            <w:tcBorders>
              <w:top w:val="single" w:sz="4" w:space="0" w:color="auto"/>
              <w:left w:val="single" w:sz="4" w:space="0" w:color="auto"/>
              <w:bottom w:val="single" w:sz="4" w:space="0" w:color="auto"/>
              <w:right w:val="single" w:sz="4" w:space="0" w:color="auto"/>
            </w:tcBorders>
            <w:vAlign w:val="center"/>
          </w:tcPr>
          <w:p w14:paraId="21839E59" w14:textId="1544A057" w:rsidR="006B34D2" w:rsidRDefault="00B3236C" w:rsidP="004D667C">
            <w:pPr>
              <w:spacing w:before="120" w:after="120"/>
              <w:rPr>
                <w:rFonts w:ascii="Verdana" w:hAnsi="Verdana" w:cs="Arial"/>
                <w:sz w:val="20"/>
                <w:szCs w:val="20"/>
              </w:rPr>
            </w:pPr>
            <w:r>
              <w:rPr>
                <w:rFonts w:ascii="Verdana" w:hAnsi="Verdana" w:cs="Arial"/>
                <w:sz w:val="20"/>
                <w:szCs w:val="20"/>
              </w:rPr>
              <w:t>Health</w:t>
            </w:r>
          </w:p>
        </w:tc>
      </w:tr>
      <w:tr w:rsidR="006B34D2" w14:paraId="7EB3210E" w14:textId="77777777" w:rsidTr="003C1FAB">
        <w:tc>
          <w:tcPr>
            <w:tcW w:w="336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30A35679" w14:textId="77777777" w:rsidR="006B34D2" w:rsidRDefault="006B34D2" w:rsidP="004D667C">
            <w:pPr>
              <w:spacing w:before="120" w:after="120"/>
              <w:rPr>
                <w:rFonts w:ascii="Verdana" w:hAnsi="Verdana" w:cs="Arial"/>
                <w:b/>
                <w:szCs w:val="20"/>
              </w:rPr>
            </w:pPr>
            <w:r>
              <w:rPr>
                <w:rFonts w:ascii="Verdana" w:hAnsi="Verdana" w:cs="Arial"/>
                <w:b/>
                <w:szCs w:val="20"/>
              </w:rPr>
              <w:t>Programme delivered in conjunction with</w:t>
            </w:r>
          </w:p>
        </w:tc>
        <w:tc>
          <w:tcPr>
            <w:tcW w:w="7118" w:type="dxa"/>
            <w:gridSpan w:val="4"/>
            <w:tcBorders>
              <w:top w:val="single" w:sz="4" w:space="0" w:color="auto"/>
              <w:left w:val="single" w:sz="4" w:space="0" w:color="auto"/>
              <w:bottom w:val="single" w:sz="4" w:space="0" w:color="auto"/>
              <w:right w:val="single" w:sz="4" w:space="0" w:color="auto"/>
            </w:tcBorders>
            <w:vAlign w:val="center"/>
            <w:hideMark/>
          </w:tcPr>
          <w:p w14:paraId="05393501" w14:textId="6E9023B9" w:rsidR="006B34D2" w:rsidRDefault="00B3236C" w:rsidP="004D667C">
            <w:pPr>
              <w:spacing w:before="120" w:after="120"/>
              <w:rPr>
                <w:rFonts w:ascii="Verdana" w:hAnsi="Verdana" w:cs="Arial"/>
                <w:color w:val="C00000"/>
                <w:sz w:val="20"/>
                <w:szCs w:val="20"/>
              </w:rPr>
            </w:pPr>
            <w:r w:rsidRPr="000878EC">
              <w:rPr>
                <w:rFonts w:ascii="Verdana" w:hAnsi="Verdana"/>
                <w:sz w:val="20"/>
                <w:szCs w:val="20"/>
              </w:rPr>
              <w:t>Not applicable</w:t>
            </w:r>
          </w:p>
        </w:tc>
      </w:tr>
      <w:tr w:rsidR="006B34D2" w14:paraId="6A44BB8F" w14:textId="77777777" w:rsidTr="003C1FAB">
        <w:tc>
          <w:tcPr>
            <w:tcW w:w="336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3908110B" w14:textId="41AF7A1F" w:rsidR="006B34D2" w:rsidRDefault="006B34D2" w:rsidP="004D667C">
            <w:pPr>
              <w:spacing w:before="120" w:after="120"/>
              <w:rPr>
                <w:rFonts w:ascii="Verdana" w:hAnsi="Verdana" w:cs="Arial"/>
                <w:b/>
                <w:bCs/>
              </w:rPr>
            </w:pPr>
            <w:r w:rsidRPr="0FE78FCB">
              <w:rPr>
                <w:rFonts w:ascii="Verdana" w:hAnsi="Verdana" w:cs="Arial"/>
                <w:b/>
                <w:bCs/>
              </w:rPr>
              <w:t>Principal Mode of Delivery</w:t>
            </w:r>
          </w:p>
        </w:tc>
        <w:tc>
          <w:tcPr>
            <w:tcW w:w="7118" w:type="dxa"/>
            <w:gridSpan w:val="4"/>
            <w:tcBorders>
              <w:top w:val="single" w:sz="4" w:space="0" w:color="auto"/>
              <w:left w:val="single" w:sz="4" w:space="0" w:color="auto"/>
              <w:bottom w:val="single" w:sz="4" w:space="0" w:color="auto"/>
              <w:right w:val="single" w:sz="4" w:space="0" w:color="auto"/>
            </w:tcBorders>
            <w:vAlign w:val="center"/>
          </w:tcPr>
          <w:p w14:paraId="4CC2DA7D" w14:textId="32FD559E" w:rsidR="006B34D2" w:rsidRDefault="0EE425AE" w:rsidP="004D667C">
            <w:pPr>
              <w:spacing w:before="120" w:after="120"/>
              <w:rPr>
                <w:rFonts w:ascii="Verdana" w:hAnsi="Verdana" w:cs="Arial"/>
                <w:sz w:val="20"/>
                <w:szCs w:val="20"/>
              </w:rPr>
            </w:pPr>
            <w:r w:rsidRPr="0C639946">
              <w:rPr>
                <w:rFonts w:ascii="Verdana" w:hAnsi="Verdana" w:cs="Arial"/>
                <w:sz w:val="20"/>
                <w:szCs w:val="20"/>
              </w:rPr>
              <w:t>Blended Learning</w:t>
            </w:r>
          </w:p>
        </w:tc>
      </w:tr>
      <w:tr w:rsidR="006B34D2" w14:paraId="72096566" w14:textId="77777777" w:rsidTr="003C1FAB">
        <w:trPr>
          <w:trHeight w:val="510"/>
        </w:trPr>
        <w:tc>
          <w:tcPr>
            <w:tcW w:w="3367"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14:paraId="69DC4818" w14:textId="77777777" w:rsidR="006B34D2" w:rsidRDefault="006B34D2" w:rsidP="004D667C">
            <w:pPr>
              <w:spacing w:before="120" w:after="120"/>
              <w:rPr>
                <w:rFonts w:ascii="Verdana" w:hAnsi="Verdana" w:cs="Arial"/>
                <w:b/>
                <w:szCs w:val="20"/>
              </w:rPr>
            </w:pPr>
            <w:r>
              <w:rPr>
                <w:rFonts w:ascii="Verdana" w:hAnsi="Verdana" w:cs="Arial"/>
                <w:b/>
                <w:szCs w:val="20"/>
              </w:rPr>
              <w:t>Pattern of Delivery</w:t>
            </w:r>
          </w:p>
        </w:tc>
        <w:tc>
          <w:tcPr>
            <w:tcW w:w="7118" w:type="dxa"/>
            <w:gridSpan w:val="4"/>
            <w:tcBorders>
              <w:top w:val="single" w:sz="4" w:space="0" w:color="auto"/>
              <w:left w:val="single" w:sz="4" w:space="0" w:color="auto"/>
              <w:bottom w:val="single" w:sz="4" w:space="0" w:color="auto"/>
              <w:right w:val="single" w:sz="4" w:space="0" w:color="auto"/>
            </w:tcBorders>
            <w:vAlign w:val="center"/>
            <w:hideMark/>
          </w:tcPr>
          <w:p w14:paraId="508AA5D9" w14:textId="2FF6C669" w:rsidR="006B34D2" w:rsidRDefault="5C5A204B" w:rsidP="004D667C">
            <w:pPr>
              <w:spacing w:before="120" w:after="120"/>
              <w:rPr>
                <w:rFonts w:ascii="Verdana" w:eastAsia="Times New Roman" w:hAnsi="Verdana" w:cs="Tahoma"/>
              </w:rPr>
            </w:pPr>
            <w:r w:rsidRPr="7930AD80">
              <w:rPr>
                <w:rFonts w:ascii="Verdana" w:eastAsia="Times New Roman" w:hAnsi="Verdana" w:cs="Tahoma"/>
                <w:sz w:val="20"/>
                <w:szCs w:val="20"/>
              </w:rPr>
              <w:t>Part-time</w:t>
            </w:r>
          </w:p>
        </w:tc>
      </w:tr>
      <w:tr w:rsidR="006B34D2" w14:paraId="66B36712" w14:textId="77777777" w:rsidTr="003C1FAB">
        <w:trPr>
          <w:trHeight w:val="590"/>
        </w:trPr>
        <w:tc>
          <w:tcPr>
            <w:tcW w:w="3367" w:type="dxa"/>
            <w:vMerge/>
            <w:vAlign w:val="center"/>
            <w:hideMark/>
          </w:tcPr>
          <w:p w14:paraId="6D83E5A6" w14:textId="77777777" w:rsidR="006B34D2" w:rsidRDefault="006B34D2" w:rsidP="004D667C">
            <w:pPr>
              <w:spacing w:before="120" w:after="120"/>
              <w:rPr>
                <w:rFonts w:ascii="Verdana" w:hAnsi="Verdana" w:cs="Arial"/>
                <w:b/>
                <w:szCs w:val="20"/>
              </w:rPr>
            </w:pPr>
          </w:p>
        </w:tc>
        <w:tc>
          <w:tcPr>
            <w:tcW w:w="3656" w:type="dxa"/>
            <w:gridSpan w:val="2"/>
            <w:tcBorders>
              <w:top w:val="single" w:sz="4" w:space="0" w:color="auto"/>
              <w:left w:val="single" w:sz="4" w:space="0" w:color="auto"/>
              <w:bottom w:val="nil"/>
              <w:right w:val="single" w:sz="4" w:space="0" w:color="auto"/>
            </w:tcBorders>
            <w:vAlign w:val="center"/>
            <w:hideMark/>
          </w:tcPr>
          <w:p w14:paraId="780E0B36" w14:textId="77777777" w:rsidR="006B34D2" w:rsidRDefault="006B34D2" w:rsidP="004D667C">
            <w:pPr>
              <w:spacing w:before="120" w:after="120"/>
              <w:rPr>
                <w:rFonts w:ascii="Verdana" w:eastAsia="Times New Roman" w:hAnsi="Verdana" w:cs="Tahoma"/>
                <w:sz w:val="20"/>
                <w:szCs w:val="20"/>
              </w:rPr>
            </w:pPr>
            <w:r>
              <w:rPr>
                <w:rFonts w:ascii="Verdana" w:eastAsia="Times New Roman" w:hAnsi="Verdana" w:cs="Tahoma"/>
                <w:sz w:val="20"/>
                <w:szCs w:val="20"/>
              </w:rPr>
              <w:t>Total weeks of study:</w:t>
            </w:r>
          </w:p>
        </w:tc>
        <w:tc>
          <w:tcPr>
            <w:tcW w:w="3462" w:type="dxa"/>
            <w:gridSpan w:val="2"/>
            <w:tcBorders>
              <w:top w:val="single" w:sz="4" w:space="0" w:color="auto"/>
              <w:left w:val="single" w:sz="4" w:space="0" w:color="auto"/>
              <w:bottom w:val="nil"/>
              <w:right w:val="single" w:sz="4" w:space="0" w:color="auto"/>
            </w:tcBorders>
            <w:vAlign w:val="center"/>
            <w:hideMark/>
          </w:tcPr>
          <w:p w14:paraId="4DD104D6" w14:textId="1FD76620" w:rsidR="006B34D2" w:rsidRDefault="6406EFBC" w:rsidP="004D667C">
            <w:pPr>
              <w:spacing w:before="120" w:after="120"/>
              <w:rPr>
                <w:rFonts w:ascii="Verdana" w:eastAsia="Times New Roman" w:hAnsi="Verdana" w:cs="Tahoma"/>
                <w:sz w:val="20"/>
                <w:szCs w:val="20"/>
              </w:rPr>
            </w:pPr>
            <w:r w:rsidRPr="4D69E6E4">
              <w:rPr>
                <w:rFonts w:ascii="Verdana" w:eastAsia="Times New Roman" w:hAnsi="Verdana" w:cs="Tahoma"/>
                <w:sz w:val="20"/>
                <w:szCs w:val="20"/>
              </w:rPr>
              <w:t>18 – 24 weeks</w:t>
            </w:r>
          </w:p>
        </w:tc>
      </w:tr>
      <w:tr w:rsidR="006B34D2" w14:paraId="702E6B3D" w14:textId="77777777" w:rsidTr="003C1FAB">
        <w:trPr>
          <w:trHeight w:val="590"/>
        </w:trPr>
        <w:tc>
          <w:tcPr>
            <w:tcW w:w="3367" w:type="dxa"/>
            <w:vMerge/>
            <w:vAlign w:val="center"/>
            <w:hideMark/>
          </w:tcPr>
          <w:p w14:paraId="0B861BDF" w14:textId="77777777" w:rsidR="006B34D2" w:rsidRDefault="006B34D2" w:rsidP="004D667C">
            <w:pPr>
              <w:spacing w:before="120" w:after="120"/>
              <w:rPr>
                <w:rFonts w:ascii="Verdana" w:hAnsi="Verdana" w:cs="Arial"/>
                <w:b/>
                <w:szCs w:val="20"/>
              </w:rPr>
            </w:pPr>
          </w:p>
        </w:tc>
        <w:tc>
          <w:tcPr>
            <w:tcW w:w="3656" w:type="dxa"/>
            <w:gridSpan w:val="2"/>
            <w:tcBorders>
              <w:top w:val="nil"/>
              <w:left w:val="single" w:sz="4" w:space="0" w:color="auto"/>
              <w:bottom w:val="nil"/>
              <w:right w:val="single" w:sz="4" w:space="0" w:color="auto"/>
            </w:tcBorders>
            <w:vAlign w:val="center"/>
            <w:hideMark/>
          </w:tcPr>
          <w:p w14:paraId="32E7F6EE" w14:textId="77777777" w:rsidR="006B34D2" w:rsidRDefault="006B34D2" w:rsidP="004D667C">
            <w:pPr>
              <w:spacing w:before="120" w:after="120"/>
              <w:rPr>
                <w:rFonts w:ascii="Verdana" w:eastAsia="Times New Roman" w:hAnsi="Verdana" w:cs="Tahoma"/>
                <w:sz w:val="20"/>
                <w:szCs w:val="20"/>
              </w:rPr>
            </w:pPr>
            <w:r>
              <w:rPr>
                <w:rFonts w:ascii="Verdana" w:eastAsia="Times New Roman" w:hAnsi="Verdana" w:cs="Tahoma"/>
                <w:sz w:val="20"/>
                <w:szCs w:val="20"/>
              </w:rPr>
              <w:t>Delivery pattern:</w:t>
            </w:r>
          </w:p>
        </w:tc>
        <w:tc>
          <w:tcPr>
            <w:tcW w:w="3462" w:type="dxa"/>
            <w:gridSpan w:val="2"/>
            <w:tcBorders>
              <w:top w:val="nil"/>
              <w:left w:val="single" w:sz="4" w:space="0" w:color="auto"/>
              <w:bottom w:val="nil"/>
              <w:right w:val="single" w:sz="4" w:space="0" w:color="auto"/>
            </w:tcBorders>
            <w:vAlign w:val="center"/>
            <w:hideMark/>
          </w:tcPr>
          <w:p w14:paraId="07F8D5CA" w14:textId="1550DD46" w:rsidR="006B34D2" w:rsidRDefault="68345247" w:rsidP="004D667C">
            <w:pPr>
              <w:spacing w:before="120" w:after="120"/>
              <w:rPr>
                <w:rFonts w:ascii="Verdana" w:eastAsia="Times New Roman" w:hAnsi="Verdana" w:cs="Tahoma"/>
                <w:sz w:val="20"/>
                <w:szCs w:val="20"/>
              </w:rPr>
            </w:pPr>
            <w:r w:rsidRPr="7930AD80">
              <w:rPr>
                <w:rFonts w:ascii="Verdana" w:eastAsia="Times New Roman" w:hAnsi="Verdana" w:cs="Tahoma"/>
                <w:sz w:val="20"/>
                <w:szCs w:val="20"/>
              </w:rPr>
              <w:t>S1 &amp; S2</w:t>
            </w:r>
          </w:p>
        </w:tc>
      </w:tr>
      <w:tr w:rsidR="006B34D2" w14:paraId="042330B3" w14:textId="77777777" w:rsidTr="003C1FAB">
        <w:trPr>
          <w:trHeight w:val="300"/>
        </w:trPr>
        <w:tc>
          <w:tcPr>
            <w:tcW w:w="3367" w:type="dxa"/>
            <w:vMerge/>
            <w:vAlign w:val="center"/>
            <w:hideMark/>
          </w:tcPr>
          <w:p w14:paraId="3FD50097" w14:textId="77777777" w:rsidR="006B34D2" w:rsidRDefault="006B34D2" w:rsidP="004D667C">
            <w:pPr>
              <w:spacing w:before="120" w:after="120"/>
              <w:rPr>
                <w:rFonts w:ascii="Verdana" w:hAnsi="Verdana" w:cs="Arial"/>
                <w:b/>
                <w:szCs w:val="20"/>
              </w:rPr>
            </w:pPr>
          </w:p>
        </w:tc>
        <w:tc>
          <w:tcPr>
            <w:tcW w:w="3656" w:type="dxa"/>
            <w:gridSpan w:val="2"/>
            <w:tcBorders>
              <w:top w:val="nil"/>
              <w:left w:val="single" w:sz="4" w:space="0" w:color="auto"/>
              <w:bottom w:val="single" w:sz="4" w:space="0" w:color="auto"/>
              <w:right w:val="single" w:sz="4" w:space="0" w:color="auto"/>
            </w:tcBorders>
            <w:vAlign w:val="center"/>
            <w:hideMark/>
          </w:tcPr>
          <w:p w14:paraId="69847D64" w14:textId="77777777" w:rsidR="006B34D2" w:rsidRDefault="006B34D2" w:rsidP="004D667C">
            <w:pPr>
              <w:spacing w:before="120" w:after="120"/>
              <w:rPr>
                <w:rFonts w:ascii="Verdana" w:eastAsia="Times New Roman" w:hAnsi="Verdana" w:cs="Tahoma"/>
                <w:sz w:val="20"/>
                <w:szCs w:val="20"/>
              </w:rPr>
            </w:pPr>
            <w:r>
              <w:rPr>
                <w:rFonts w:ascii="Verdana" w:eastAsia="Times New Roman" w:hAnsi="Verdana" w:cs="Tahoma"/>
                <w:sz w:val="20"/>
                <w:szCs w:val="20"/>
              </w:rPr>
              <w:t>Standard semester dates:</w:t>
            </w:r>
          </w:p>
        </w:tc>
        <w:tc>
          <w:tcPr>
            <w:tcW w:w="3462" w:type="dxa"/>
            <w:gridSpan w:val="2"/>
            <w:tcBorders>
              <w:top w:val="nil"/>
              <w:left w:val="single" w:sz="4" w:space="0" w:color="auto"/>
              <w:bottom w:val="single" w:sz="4" w:space="0" w:color="auto"/>
              <w:right w:val="single" w:sz="4" w:space="0" w:color="auto"/>
            </w:tcBorders>
            <w:vAlign w:val="center"/>
            <w:hideMark/>
          </w:tcPr>
          <w:p w14:paraId="1ACB4BAF" w14:textId="423B7989" w:rsidR="006B34D2" w:rsidRDefault="006B34D2" w:rsidP="004D667C">
            <w:pPr>
              <w:spacing w:before="120" w:after="120"/>
              <w:rPr>
                <w:rFonts w:ascii="Verdana" w:eastAsia="Times New Roman" w:hAnsi="Verdana" w:cs="Tahoma"/>
                <w:sz w:val="20"/>
                <w:szCs w:val="20"/>
              </w:rPr>
            </w:pPr>
            <w:r w:rsidRPr="7930AD80">
              <w:rPr>
                <w:rFonts w:ascii="Verdana" w:eastAsia="Times New Roman" w:hAnsi="Verdana" w:cs="Tahoma"/>
                <w:sz w:val="20"/>
                <w:szCs w:val="20"/>
              </w:rPr>
              <w:t>No</w:t>
            </w:r>
          </w:p>
        </w:tc>
      </w:tr>
      <w:tr w:rsidR="006B34D2" w14:paraId="02D8A931" w14:textId="77777777" w:rsidTr="003C1FAB">
        <w:tc>
          <w:tcPr>
            <w:tcW w:w="336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550FF860" w14:textId="77777777" w:rsidR="006B34D2" w:rsidRDefault="006B34D2" w:rsidP="004D667C">
            <w:pPr>
              <w:spacing w:before="120" w:after="120"/>
              <w:rPr>
                <w:rFonts w:ascii="Verdana" w:hAnsi="Verdana" w:cs="Arial"/>
                <w:b/>
                <w:szCs w:val="20"/>
              </w:rPr>
            </w:pPr>
            <w:r>
              <w:rPr>
                <w:rFonts w:ascii="Verdana" w:hAnsi="Verdana" w:cs="Arial"/>
                <w:b/>
                <w:szCs w:val="20"/>
              </w:rPr>
              <w:t>Delivery Site(s)</w:t>
            </w:r>
          </w:p>
        </w:tc>
        <w:tc>
          <w:tcPr>
            <w:tcW w:w="7118" w:type="dxa"/>
            <w:gridSpan w:val="4"/>
            <w:tcBorders>
              <w:top w:val="single" w:sz="4" w:space="0" w:color="auto"/>
              <w:left w:val="single" w:sz="4" w:space="0" w:color="auto"/>
              <w:bottom w:val="single" w:sz="4" w:space="0" w:color="auto"/>
              <w:right w:val="single" w:sz="4" w:space="0" w:color="auto"/>
            </w:tcBorders>
            <w:vAlign w:val="center"/>
            <w:hideMark/>
          </w:tcPr>
          <w:p w14:paraId="1C79AC6E" w14:textId="7CE09326" w:rsidR="006B34D2" w:rsidRDefault="00B3236C" w:rsidP="004D667C">
            <w:pPr>
              <w:spacing w:before="120" w:after="120"/>
              <w:rPr>
                <w:rFonts w:ascii="Verdana" w:hAnsi="Verdana" w:cs="Arial"/>
                <w:color w:val="C00000"/>
                <w:sz w:val="20"/>
                <w:szCs w:val="20"/>
              </w:rPr>
            </w:pPr>
            <w:r w:rsidRPr="00345A85">
              <w:rPr>
                <w:rFonts w:ascii="Verdana" w:hAnsi="Verdana"/>
                <w:sz w:val="20"/>
                <w:szCs w:val="20"/>
              </w:rPr>
              <w:t xml:space="preserve">University of Cumbria campuses of Carlisle – Fusehill Street, </w:t>
            </w:r>
            <w:proofErr w:type="gramStart"/>
            <w:r w:rsidRPr="00345A85">
              <w:rPr>
                <w:rFonts w:ascii="Verdana" w:hAnsi="Verdana"/>
                <w:sz w:val="20"/>
                <w:szCs w:val="20"/>
              </w:rPr>
              <w:t>Lancaster</w:t>
            </w:r>
            <w:proofErr w:type="gramEnd"/>
            <w:r w:rsidRPr="00345A85">
              <w:rPr>
                <w:rFonts w:ascii="Verdana" w:hAnsi="Verdana"/>
                <w:sz w:val="20"/>
                <w:szCs w:val="20"/>
              </w:rPr>
              <w:t xml:space="preserve"> and London</w:t>
            </w:r>
          </w:p>
        </w:tc>
      </w:tr>
      <w:tr w:rsidR="006B34D2" w14:paraId="566E10EE" w14:textId="77777777" w:rsidTr="003C1FAB">
        <w:tc>
          <w:tcPr>
            <w:tcW w:w="336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4CDF7D3D" w14:textId="77777777" w:rsidR="006B34D2" w:rsidRDefault="006B34D2" w:rsidP="004D667C">
            <w:pPr>
              <w:spacing w:before="120" w:after="120"/>
              <w:rPr>
                <w:rFonts w:ascii="Verdana" w:hAnsi="Verdana" w:cs="Arial"/>
                <w:b/>
                <w:szCs w:val="20"/>
              </w:rPr>
            </w:pPr>
            <w:r>
              <w:rPr>
                <w:rFonts w:ascii="Verdana" w:hAnsi="Verdana" w:cs="Arial"/>
                <w:b/>
                <w:szCs w:val="20"/>
              </w:rPr>
              <w:lastRenderedPageBreak/>
              <w:t>Programme Length</w:t>
            </w:r>
          </w:p>
        </w:tc>
        <w:tc>
          <w:tcPr>
            <w:tcW w:w="7118" w:type="dxa"/>
            <w:gridSpan w:val="4"/>
            <w:tcBorders>
              <w:top w:val="single" w:sz="4" w:space="0" w:color="auto"/>
              <w:left w:val="single" w:sz="4" w:space="0" w:color="auto"/>
              <w:bottom w:val="single" w:sz="4" w:space="0" w:color="auto"/>
              <w:right w:val="single" w:sz="4" w:space="0" w:color="auto"/>
            </w:tcBorders>
            <w:vAlign w:val="center"/>
            <w:hideMark/>
          </w:tcPr>
          <w:p w14:paraId="02CB905E" w14:textId="127AFCB8" w:rsidR="006B34D2" w:rsidRDefault="00B3236C" w:rsidP="004D667C">
            <w:pPr>
              <w:spacing w:before="120" w:after="120"/>
              <w:rPr>
                <w:rFonts w:ascii="Verdana" w:hAnsi="Verdana"/>
                <w:color w:val="C00000"/>
                <w:sz w:val="20"/>
                <w:szCs w:val="20"/>
              </w:rPr>
            </w:pPr>
            <w:r w:rsidRPr="4D69E6E4">
              <w:rPr>
                <w:rFonts w:ascii="Verdana" w:hAnsi="Verdana"/>
                <w:sz w:val="20"/>
                <w:szCs w:val="20"/>
              </w:rPr>
              <w:t>The programme is normally scheduled for a period of approximately 18-2</w:t>
            </w:r>
            <w:r w:rsidR="6D40D2C2" w:rsidRPr="4D69E6E4">
              <w:rPr>
                <w:rFonts w:ascii="Verdana" w:hAnsi="Verdana"/>
                <w:sz w:val="20"/>
                <w:szCs w:val="20"/>
              </w:rPr>
              <w:t>4</w:t>
            </w:r>
            <w:r w:rsidRPr="4D69E6E4">
              <w:rPr>
                <w:rFonts w:ascii="Verdana" w:hAnsi="Verdana"/>
                <w:sz w:val="20"/>
                <w:szCs w:val="20"/>
              </w:rPr>
              <w:t xml:space="preserve"> weeks. Completion of the programme is anticipated within one year.</w:t>
            </w:r>
          </w:p>
        </w:tc>
      </w:tr>
      <w:tr w:rsidR="006B34D2" w14:paraId="5D41ECAE" w14:textId="77777777" w:rsidTr="003C1FAB">
        <w:tc>
          <w:tcPr>
            <w:tcW w:w="336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3E15FFF4" w14:textId="77777777" w:rsidR="006B34D2" w:rsidRDefault="006B34D2" w:rsidP="004D667C">
            <w:pPr>
              <w:spacing w:before="120" w:after="120"/>
              <w:rPr>
                <w:rFonts w:ascii="Verdana" w:hAnsi="Verdana" w:cs="Arial"/>
                <w:b/>
                <w:szCs w:val="20"/>
              </w:rPr>
            </w:pPr>
            <w:r>
              <w:rPr>
                <w:rFonts w:ascii="Verdana" w:hAnsi="Verdana" w:cs="Arial"/>
                <w:b/>
                <w:szCs w:val="20"/>
              </w:rPr>
              <w:t>Exit Awards</w:t>
            </w:r>
          </w:p>
        </w:tc>
        <w:tc>
          <w:tcPr>
            <w:tcW w:w="7118" w:type="dxa"/>
            <w:gridSpan w:val="4"/>
            <w:tcBorders>
              <w:top w:val="single" w:sz="4" w:space="0" w:color="auto"/>
              <w:left w:val="single" w:sz="4" w:space="0" w:color="auto"/>
              <w:bottom w:val="single" w:sz="4" w:space="0" w:color="auto"/>
              <w:right w:val="single" w:sz="4" w:space="0" w:color="auto"/>
            </w:tcBorders>
            <w:vAlign w:val="center"/>
            <w:hideMark/>
          </w:tcPr>
          <w:p w14:paraId="772B900B" w14:textId="1F98A58F" w:rsidR="006B34D2" w:rsidRDefault="00363D2B" w:rsidP="004D667C">
            <w:pPr>
              <w:spacing w:before="120" w:after="120"/>
              <w:rPr>
                <w:rFonts w:ascii="Verdana" w:hAnsi="Verdana"/>
                <w:color w:val="C00000"/>
                <w:sz w:val="20"/>
                <w:szCs w:val="20"/>
              </w:rPr>
            </w:pPr>
            <w:r w:rsidRPr="7930AD80">
              <w:rPr>
                <w:rFonts w:ascii="Verdana" w:hAnsi="Verdana" w:cs="Arial"/>
                <w:sz w:val="20"/>
                <w:szCs w:val="20"/>
              </w:rPr>
              <w:t xml:space="preserve">None </w:t>
            </w:r>
          </w:p>
        </w:tc>
      </w:tr>
      <w:tr w:rsidR="006B34D2" w14:paraId="0329251B" w14:textId="77777777" w:rsidTr="003C1FAB">
        <w:tc>
          <w:tcPr>
            <w:tcW w:w="336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4521C4A0" w14:textId="77777777" w:rsidR="006B34D2" w:rsidRDefault="006B34D2" w:rsidP="004D667C">
            <w:pPr>
              <w:spacing w:before="120" w:after="120"/>
              <w:rPr>
                <w:rFonts w:ascii="Verdana" w:hAnsi="Verdana" w:cs="Arial"/>
                <w:b/>
              </w:rPr>
            </w:pPr>
            <w:r>
              <w:rPr>
                <w:rFonts w:ascii="Verdana" w:hAnsi="Verdana" w:cs="Arial"/>
                <w:b/>
              </w:rPr>
              <w:t>Period of Approval</w:t>
            </w:r>
          </w:p>
        </w:tc>
        <w:tc>
          <w:tcPr>
            <w:tcW w:w="7118" w:type="dxa"/>
            <w:gridSpan w:val="4"/>
            <w:tcBorders>
              <w:top w:val="single" w:sz="4" w:space="0" w:color="auto"/>
              <w:left w:val="single" w:sz="4" w:space="0" w:color="auto"/>
              <w:bottom w:val="single" w:sz="4" w:space="0" w:color="auto"/>
              <w:right w:val="single" w:sz="4" w:space="0" w:color="auto"/>
            </w:tcBorders>
            <w:vAlign w:val="center"/>
          </w:tcPr>
          <w:p w14:paraId="2B51FB79" w14:textId="77B3DCB6" w:rsidR="006B34D2" w:rsidRDefault="006B34D2" w:rsidP="004D667C">
            <w:pPr>
              <w:spacing w:before="120" w:after="120"/>
              <w:rPr>
                <w:rFonts w:ascii="Verdana" w:hAnsi="Verdana"/>
                <w:color w:val="C00000"/>
                <w:sz w:val="20"/>
                <w:szCs w:val="20"/>
              </w:rPr>
            </w:pPr>
            <w:r w:rsidRPr="00363D2B">
              <w:rPr>
                <w:rFonts w:ascii="Verdana" w:hAnsi="Verdana"/>
                <w:sz w:val="20"/>
                <w:szCs w:val="20"/>
              </w:rPr>
              <w:t>August 202</w:t>
            </w:r>
            <w:r w:rsidR="00BB7502" w:rsidRPr="00363D2B">
              <w:rPr>
                <w:rFonts w:ascii="Verdana" w:hAnsi="Verdana"/>
                <w:sz w:val="20"/>
                <w:szCs w:val="20"/>
              </w:rPr>
              <w:t>2</w:t>
            </w:r>
            <w:r w:rsidRPr="00363D2B">
              <w:rPr>
                <w:rFonts w:ascii="Verdana" w:hAnsi="Verdana"/>
                <w:sz w:val="20"/>
                <w:szCs w:val="20"/>
              </w:rPr>
              <w:t xml:space="preserve"> </w:t>
            </w:r>
            <w:r w:rsidR="00363D2B" w:rsidRPr="00363D2B">
              <w:rPr>
                <w:rFonts w:ascii="Verdana" w:hAnsi="Verdana"/>
                <w:sz w:val="20"/>
                <w:szCs w:val="20"/>
              </w:rPr>
              <w:t>to August 2025 (this is aligned with the anticipated period of accreditation by the General Pharmaceutical Council).</w:t>
            </w:r>
          </w:p>
        </w:tc>
      </w:tr>
      <w:tr w:rsidR="006B34D2" w14:paraId="630C535B" w14:textId="77777777" w:rsidTr="003C1FAB">
        <w:tc>
          <w:tcPr>
            <w:tcW w:w="10485" w:type="dxa"/>
            <w:gridSpan w:val="5"/>
            <w:tcBorders>
              <w:top w:val="single" w:sz="4" w:space="0" w:color="auto"/>
              <w:left w:val="single" w:sz="4" w:space="0" w:color="auto"/>
              <w:bottom w:val="single" w:sz="4" w:space="0" w:color="auto"/>
              <w:right w:val="single" w:sz="4" w:space="0" w:color="auto"/>
            </w:tcBorders>
            <w:vAlign w:val="center"/>
            <w:hideMark/>
          </w:tcPr>
          <w:p w14:paraId="5C812F9C" w14:textId="7A742BED" w:rsidR="006B34D2" w:rsidRDefault="006B34D2" w:rsidP="004D667C">
            <w:pPr>
              <w:spacing w:before="120" w:after="120"/>
              <w:rPr>
                <w:rFonts w:ascii="Verdana" w:eastAsia="Verdana" w:hAnsi="Verdana" w:cs="Verdana"/>
              </w:rPr>
            </w:pPr>
            <w:r w:rsidRPr="7930AD80">
              <w:rPr>
                <w:rFonts w:ascii="Verdana" w:hAnsi="Verdana" w:cs="Arial"/>
                <w:sz w:val="20"/>
                <w:szCs w:val="20"/>
              </w:rPr>
              <w:t xml:space="preserve">This programme has been approved (validated) by the University of Cumbria as suitable for a range of delivery modes, delivery patterns, and delivery sites. This level of potential flexibility does not reflect a commitment on behalf of the University to offer the programme by all modes/patterns and at all locations in every academic cycle. The details of the programme offered for a particular intake year will be as detailed on the programme webpage: </w:t>
            </w:r>
            <w:hyperlink r:id="rId15">
              <w:r w:rsidR="6987DCA3" w:rsidRPr="7930AD80">
                <w:rPr>
                  <w:rStyle w:val="Hyperlink"/>
                  <w:rFonts w:ascii="Verdana" w:eastAsia="Verdana" w:hAnsi="Verdana" w:cs="Verdana"/>
                  <w:sz w:val="20"/>
                  <w:szCs w:val="20"/>
                </w:rPr>
                <w:t>Independent Prescribing for Pharmacists (Practice Certificate in Independent Prescribing) - Level 7 | University of Cumbria</w:t>
              </w:r>
            </w:hyperlink>
          </w:p>
        </w:tc>
      </w:tr>
    </w:tbl>
    <w:p w14:paraId="72A3D3EC" w14:textId="77777777" w:rsidR="006B34D2" w:rsidRDefault="006B34D2" w:rsidP="004D667C">
      <w:pPr>
        <w:spacing w:before="120" w:after="12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10485"/>
      </w:tblGrid>
      <w:tr w:rsidR="006B34D2" w14:paraId="6367977D" w14:textId="77777777" w:rsidTr="003C1FAB">
        <w:tc>
          <w:tcPr>
            <w:tcW w:w="10485"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106E9FA4" w14:textId="2A5FBB41" w:rsidR="006B34D2" w:rsidRPr="001C48AF" w:rsidRDefault="001C48AF" w:rsidP="004D667C">
            <w:pPr>
              <w:spacing w:before="120" w:after="120"/>
              <w:rPr>
                <w:rFonts w:ascii="Verdana" w:hAnsi="Verdana"/>
                <w:b/>
              </w:rPr>
            </w:pPr>
            <w:r>
              <w:rPr>
                <w:rFonts w:ascii="Verdana" w:hAnsi="Verdana"/>
                <w:b/>
              </w:rPr>
              <w:t>Cumbria Graduate Attributes</w:t>
            </w:r>
          </w:p>
        </w:tc>
      </w:tr>
      <w:tr w:rsidR="006B34D2" w14:paraId="2F4239E6" w14:textId="77777777" w:rsidTr="003C1FAB">
        <w:tc>
          <w:tcPr>
            <w:tcW w:w="10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4529F2" w14:textId="77777777" w:rsidR="006B34D2" w:rsidRDefault="006B34D2" w:rsidP="004D667C">
            <w:pPr>
              <w:spacing w:before="120" w:after="120"/>
              <w:rPr>
                <w:rFonts w:ascii="Verdana" w:hAnsi="Verdana"/>
                <w:sz w:val="20"/>
                <w:szCs w:val="20"/>
              </w:rPr>
            </w:pPr>
            <w:r>
              <w:rPr>
                <w:rFonts w:ascii="Verdana" w:hAnsi="Verdana"/>
                <w:sz w:val="20"/>
                <w:szCs w:val="20"/>
              </w:rPr>
              <w:t>Throughout your studies, you will be provided with the skills and knowledge relevant to the global workplace. All successful graduates of the University of Cumbria will be:</w:t>
            </w:r>
          </w:p>
          <w:p w14:paraId="5CBEAE03" w14:textId="77777777" w:rsidR="006B34D2" w:rsidRDefault="006B34D2" w:rsidP="004D667C">
            <w:pPr>
              <w:numPr>
                <w:ilvl w:val="0"/>
                <w:numId w:val="3"/>
              </w:numPr>
              <w:spacing w:before="120" w:after="120"/>
              <w:rPr>
                <w:rFonts w:ascii="Verdana" w:hAnsi="Verdana"/>
                <w:sz w:val="20"/>
                <w:szCs w:val="20"/>
              </w:rPr>
            </w:pPr>
            <w:r>
              <w:rPr>
                <w:rFonts w:ascii="Verdana" w:hAnsi="Verdana"/>
                <w:sz w:val="20"/>
                <w:szCs w:val="20"/>
              </w:rPr>
              <w:t>Enquiring and open to change</w:t>
            </w:r>
          </w:p>
          <w:p w14:paraId="20C7FF9D" w14:textId="77777777" w:rsidR="006B34D2" w:rsidRDefault="006B34D2" w:rsidP="004D667C">
            <w:pPr>
              <w:numPr>
                <w:ilvl w:val="0"/>
                <w:numId w:val="3"/>
              </w:numPr>
              <w:spacing w:before="120" w:after="120"/>
              <w:rPr>
                <w:rFonts w:ascii="Verdana" w:hAnsi="Verdana"/>
                <w:sz w:val="20"/>
                <w:szCs w:val="20"/>
              </w:rPr>
            </w:pPr>
            <w:r>
              <w:rPr>
                <w:rFonts w:ascii="Verdana" w:hAnsi="Verdana"/>
                <w:sz w:val="20"/>
                <w:szCs w:val="20"/>
              </w:rPr>
              <w:t xml:space="preserve">Self-reliant, </w:t>
            </w:r>
            <w:proofErr w:type="gramStart"/>
            <w:r>
              <w:rPr>
                <w:rFonts w:ascii="Verdana" w:hAnsi="Verdana"/>
                <w:sz w:val="20"/>
                <w:szCs w:val="20"/>
              </w:rPr>
              <w:t>adaptable</w:t>
            </w:r>
            <w:proofErr w:type="gramEnd"/>
            <w:r>
              <w:rPr>
                <w:rFonts w:ascii="Verdana" w:hAnsi="Verdana"/>
                <w:sz w:val="20"/>
                <w:szCs w:val="20"/>
              </w:rPr>
              <w:t xml:space="preserve"> and flexible</w:t>
            </w:r>
          </w:p>
          <w:p w14:paraId="171335EC" w14:textId="77777777" w:rsidR="006B34D2" w:rsidRDefault="006B34D2" w:rsidP="004D667C">
            <w:pPr>
              <w:numPr>
                <w:ilvl w:val="0"/>
                <w:numId w:val="3"/>
              </w:numPr>
              <w:spacing w:before="120" w:after="120"/>
              <w:rPr>
                <w:rFonts w:ascii="Verdana" w:hAnsi="Verdana"/>
                <w:sz w:val="20"/>
                <w:szCs w:val="20"/>
              </w:rPr>
            </w:pPr>
            <w:r>
              <w:rPr>
                <w:rFonts w:ascii="Verdana" w:hAnsi="Verdana"/>
                <w:sz w:val="20"/>
                <w:szCs w:val="20"/>
              </w:rPr>
              <w:t>Confident in your discipline as it develops and changes over time</w:t>
            </w:r>
          </w:p>
          <w:p w14:paraId="42366055" w14:textId="77777777" w:rsidR="006B34D2" w:rsidRDefault="006B34D2" w:rsidP="004D667C">
            <w:pPr>
              <w:numPr>
                <w:ilvl w:val="0"/>
                <w:numId w:val="3"/>
              </w:numPr>
              <w:spacing w:before="120" w:after="120"/>
              <w:rPr>
                <w:rFonts w:ascii="Verdana" w:hAnsi="Verdana"/>
                <w:sz w:val="20"/>
                <w:szCs w:val="20"/>
              </w:rPr>
            </w:pPr>
            <w:r>
              <w:rPr>
                <w:rFonts w:ascii="Verdana" w:hAnsi="Verdana"/>
                <w:sz w:val="20"/>
                <w:szCs w:val="20"/>
              </w:rPr>
              <w:t>Capable of working across disciplines and working well with others</w:t>
            </w:r>
          </w:p>
          <w:p w14:paraId="3D3D6595" w14:textId="77777777" w:rsidR="006B34D2" w:rsidRDefault="006B34D2" w:rsidP="004D667C">
            <w:pPr>
              <w:numPr>
                <w:ilvl w:val="0"/>
                <w:numId w:val="3"/>
              </w:numPr>
              <w:spacing w:before="120" w:after="120"/>
              <w:rPr>
                <w:rFonts w:ascii="Verdana" w:hAnsi="Verdana"/>
                <w:sz w:val="20"/>
                <w:szCs w:val="20"/>
              </w:rPr>
            </w:pPr>
            <w:r>
              <w:rPr>
                <w:rFonts w:ascii="Verdana" w:hAnsi="Verdana"/>
                <w:sz w:val="20"/>
                <w:szCs w:val="20"/>
              </w:rPr>
              <w:t>Confident in your digital capabilities</w:t>
            </w:r>
          </w:p>
          <w:p w14:paraId="5FF3CAC3" w14:textId="77777777" w:rsidR="006B34D2" w:rsidRDefault="006B34D2" w:rsidP="004D667C">
            <w:pPr>
              <w:numPr>
                <w:ilvl w:val="0"/>
                <w:numId w:val="3"/>
              </w:numPr>
              <w:spacing w:before="120" w:after="120"/>
              <w:rPr>
                <w:rFonts w:ascii="Verdana" w:hAnsi="Verdana"/>
                <w:sz w:val="20"/>
                <w:szCs w:val="20"/>
              </w:rPr>
            </w:pPr>
            <w:r>
              <w:rPr>
                <w:rFonts w:ascii="Verdana" w:hAnsi="Verdana"/>
                <w:sz w:val="20"/>
                <w:szCs w:val="20"/>
              </w:rPr>
              <w:t>Able to manage your own professional and personal development</w:t>
            </w:r>
          </w:p>
          <w:p w14:paraId="3C265772" w14:textId="77777777" w:rsidR="006B34D2" w:rsidRDefault="006B34D2" w:rsidP="004D667C">
            <w:pPr>
              <w:numPr>
                <w:ilvl w:val="0"/>
                <w:numId w:val="3"/>
              </w:numPr>
              <w:spacing w:before="120" w:after="120"/>
              <w:rPr>
                <w:rFonts w:ascii="Verdana" w:hAnsi="Verdana"/>
                <w:sz w:val="20"/>
                <w:szCs w:val="20"/>
              </w:rPr>
            </w:pPr>
            <w:r>
              <w:rPr>
                <w:rFonts w:ascii="Verdana" w:hAnsi="Verdana"/>
                <w:sz w:val="20"/>
                <w:szCs w:val="20"/>
              </w:rPr>
              <w:t>A global citizen, socially responsible and aware of the potential contribution of your work to the cultural and economic wellbeing of the community and its impact on the environment</w:t>
            </w:r>
          </w:p>
          <w:p w14:paraId="508B49BE" w14:textId="77777777" w:rsidR="006B34D2" w:rsidRDefault="006B34D2" w:rsidP="004D667C">
            <w:pPr>
              <w:numPr>
                <w:ilvl w:val="0"/>
                <w:numId w:val="3"/>
              </w:numPr>
              <w:spacing w:before="120" w:after="120"/>
              <w:rPr>
                <w:rFonts w:ascii="Verdana" w:hAnsi="Verdana"/>
                <w:sz w:val="20"/>
                <w:szCs w:val="20"/>
              </w:rPr>
            </w:pPr>
            <w:r>
              <w:rPr>
                <w:rFonts w:ascii="Verdana" w:hAnsi="Verdana"/>
                <w:sz w:val="20"/>
                <w:szCs w:val="20"/>
              </w:rPr>
              <w:t>A leader of people and of places</w:t>
            </w:r>
          </w:p>
          <w:p w14:paraId="24A72504" w14:textId="77777777" w:rsidR="006B34D2" w:rsidRDefault="006B34D2" w:rsidP="004D667C">
            <w:pPr>
              <w:numPr>
                <w:ilvl w:val="0"/>
                <w:numId w:val="3"/>
              </w:numPr>
              <w:spacing w:before="120" w:after="120"/>
              <w:rPr>
                <w:rFonts w:ascii="Verdana" w:hAnsi="Verdana"/>
                <w:sz w:val="20"/>
                <w:szCs w:val="20"/>
              </w:rPr>
            </w:pPr>
            <w:r>
              <w:rPr>
                <w:rFonts w:ascii="Verdana" w:hAnsi="Verdana"/>
                <w:sz w:val="20"/>
                <w:szCs w:val="20"/>
              </w:rPr>
              <w:t>Ambitious and proud</w:t>
            </w:r>
          </w:p>
        </w:tc>
      </w:tr>
    </w:tbl>
    <w:p w14:paraId="0D0B940D" w14:textId="77777777" w:rsidR="006B34D2" w:rsidRDefault="006B34D2" w:rsidP="004D667C">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10456"/>
      </w:tblGrid>
      <w:tr w:rsidR="00D266F1" w14:paraId="6DBA0801" w14:textId="77777777" w:rsidTr="0FE78FCB">
        <w:tc>
          <w:tcPr>
            <w:tcW w:w="10682"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108231B8" w14:textId="77777777" w:rsidR="00D266F1" w:rsidRDefault="00D266F1" w:rsidP="004D667C">
            <w:pPr>
              <w:spacing w:before="120" w:after="120"/>
              <w:rPr>
                <w:rFonts w:ascii="Verdana" w:hAnsi="Verdana"/>
              </w:rPr>
            </w:pPr>
            <w:r>
              <w:rPr>
                <w:rFonts w:ascii="Verdana" w:hAnsi="Verdana"/>
                <w:b/>
              </w:rPr>
              <w:t>Programme Features</w:t>
            </w:r>
          </w:p>
        </w:tc>
      </w:tr>
      <w:tr w:rsidR="00D266F1" w14:paraId="0E0F7358" w14:textId="77777777" w:rsidTr="0FE78FCB">
        <w:tc>
          <w:tcPr>
            <w:tcW w:w="10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D1F5FE" w14:textId="77777777" w:rsidR="00D266F1" w:rsidRPr="00363D2B" w:rsidRDefault="00D266F1" w:rsidP="004D667C">
            <w:pPr>
              <w:spacing w:before="120" w:after="120"/>
              <w:rPr>
                <w:rFonts w:ascii="Verdana" w:eastAsia="Times New Roman" w:hAnsi="Verdana" w:cs="Tahoma"/>
                <w:sz w:val="20"/>
                <w:szCs w:val="20"/>
                <w:lang w:eastAsia="en-GB"/>
              </w:rPr>
            </w:pPr>
            <w:r w:rsidRPr="00363D2B">
              <w:rPr>
                <w:rFonts w:ascii="Verdana" w:eastAsia="Times New Roman" w:hAnsi="Verdana" w:cs="Tahoma"/>
                <w:sz w:val="20"/>
                <w:szCs w:val="20"/>
                <w:lang w:eastAsia="en-GB"/>
              </w:rPr>
              <w:t xml:space="preserve">The </w:t>
            </w:r>
            <w:r w:rsidRPr="00363D2B">
              <w:rPr>
                <w:rFonts w:ascii="Verdana" w:eastAsia="Times New Roman" w:hAnsi="Verdana" w:cs="Tahoma"/>
                <w:sz w:val="20"/>
                <w:szCs w:val="20"/>
              </w:rPr>
              <w:t xml:space="preserve">overall aim of this </w:t>
            </w:r>
            <w:r w:rsidRPr="00363D2B">
              <w:rPr>
                <w:rFonts w:ascii="Verdana" w:eastAsia="Times New Roman" w:hAnsi="Verdana" w:cs="Tahoma"/>
                <w:sz w:val="20"/>
                <w:szCs w:val="20"/>
                <w:lang w:eastAsia="en-GB"/>
              </w:rPr>
              <w:t>programme is to</w:t>
            </w:r>
            <w:r w:rsidRPr="00363D2B">
              <w:rPr>
                <w:rFonts w:ascii="Verdana" w:eastAsia="Times New Roman" w:hAnsi="Verdana" w:cs="Tahoma"/>
                <w:sz w:val="20"/>
                <w:szCs w:val="20"/>
              </w:rPr>
              <w:t xml:space="preserve"> prepare pharmacists for roles as Independent Pharmacist Prescribers, ensuring that they can demonstrate achievement of the Learning Outcomes identified by the </w:t>
            </w:r>
            <w:r w:rsidRPr="00363D2B">
              <w:rPr>
                <w:rFonts w:ascii="Verdana" w:eastAsia="Times New Roman" w:hAnsi="Verdana" w:cs="Tahoma"/>
                <w:sz w:val="20"/>
                <w:szCs w:val="20"/>
                <w:lang w:eastAsia="en-GB"/>
              </w:rPr>
              <w:t>General Pharmaceutical Council (</w:t>
            </w:r>
            <w:proofErr w:type="spellStart"/>
            <w:r w:rsidRPr="00363D2B">
              <w:rPr>
                <w:rFonts w:ascii="Verdana" w:eastAsia="Times New Roman" w:hAnsi="Verdana" w:cs="Tahoma"/>
                <w:sz w:val="20"/>
                <w:szCs w:val="20"/>
                <w:lang w:eastAsia="en-GB"/>
              </w:rPr>
              <w:t>GPhC</w:t>
            </w:r>
            <w:proofErr w:type="spellEnd"/>
            <w:r w:rsidRPr="00363D2B">
              <w:rPr>
                <w:rFonts w:ascii="Verdana" w:eastAsia="Times New Roman" w:hAnsi="Verdana" w:cs="Tahoma"/>
                <w:sz w:val="20"/>
                <w:szCs w:val="20"/>
                <w:lang w:eastAsia="en-GB"/>
              </w:rPr>
              <w:t xml:space="preserve">) and are therefore eligible to apply for annotation as a prescriber to their registration with the </w:t>
            </w:r>
            <w:proofErr w:type="spellStart"/>
            <w:r w:rsidRPr="00363D2B">
              <w:rPr>
                <w:rFonts w:ascii="Verdana" w:eastAsia="Times New Roman" w:hAnsi="Verdana" w:cs="Tahoma"/>
                <w:sz w:val="20"/>
                <w:szCs w:val="20"/>
                <w:lang w:eastAsia="en-GB"/>
              </w:rPr>
              <w:t>GPhC</w:t>
            </w:r>
            <w:proofErr w:type="spellEnd"/>
            <w:r w:rsidRPr="00363D2B">
              <w:rPr>
                <w:rFonts w:ascii="Verdana" w:eastAsia="Times New Roman" w:hAnsi="Verdana" w:cs="Tahoma"/>
                <w:sz w:val="20"/>
                <w:szCs w:val="20"/>
                <w:lang w:eastAsia="en-GB"/>
              </w:rPr>
              <w:t xml:space="preserve">. </w:t>
            </w:r>
          </w:p>
          <w:p w14:paraId="55D6CCD7" w14:textId="77777777" w:rsidR="00D266F1" w:rsidRPr="00363D2B" w:rsidRDefault="00D266F1" w:rsidP="004D667C">
            <w:pPr>
              <w:spacing w:before="120" w:after="120"/>
              <w:rPr>
                <w:rFonts w:ascii="Verdana" w:hAnsi="Verdana"/>
                <w:sz w:val="20"/>
                <w:szCs w:val="20"/>
              </w:rPr>
            </w:pPr>
            <w:r w:rsidRPr="00363D2B">
              <w:rPr>
                <w:rFonts w:ascii="Verdana" w:hAnsi="Verdana"/>
                <w:sz w:val="20"/>
                <w:szCs w:val="20"/>
              </w:rPr>
              <w:t xml:space="preserve">In the context of continuing financial challenges, transforming services to deliver better and more efficient services remains a priority in the NHS. The potential of pharmacists’ roles to support patients to self-manage their well-being and long-term conditions, through optimising medicines, and enabling improved medicine related communication between general practice, hospital and community pharmacy is increasingly recognised (NHS England, 2015; NHS England 2018). For example, an increasing number of general practices are recruiting clinical pharmacists who, with a </w:t>
            </w:r>
            <w:r w:rsidRPr="00363D2B">
              <w:rPr>
                <w:rFonts w:ascii="Verdana" w:hAnsi="Verdana"/>
                <w:sz w:val="20"/>
                <w:szCs w:val="20"/>
              </w:rPr>
              <w:lastRenderedPageBreak/>
              <w:t xml:space="preserve">prescribing qualification, </w:t>
            </w:r>
            <w:proofErr w:type="gramStart"/>
            <w:r w:rsidRPr="00363D2B">
              <w:rPr>
                <w:rFonts w:ascii="Verdana" w:hAnsi="Verdana"/>
                <w:sz w:val="20"/>
                <w:szCs w:val="20"/>
              </w:rPr>
              <w:t>are able to</w:t>
            </w:r>
            <w:proofErr w:type="gramEnd"/>
            <w:r w:rsidRPr="00363D2B">
              <w:rPr>
                <w:rFonts w:ascii="Verdana" w:hAnsi="Verdana"/>
                <w:sz w:val="20"/>
                <w:szCs w:val="20"/>
              </w:rPr>
              <w:t xml:space="preserve"> consult with patients to improve access to care in general practice and support improved health outcomes for patients.</w:t>
            </w:r>
          </w:p>
          <w:p w14:paraId="2C7D3D75" w14:textId="77777777" w:rsidR="00D266F1" w:rsidRPr="00363D2B" w:rsidRDefault="00D266F1" w:rsidP="004D667C">
            <w:pPr>
              <w:spacing w:before="120" w:after="120"/>
              <w:rPr>
                <w:rFonts w:ascii="Verdana" w:eastAsia="Times New Roman" w:hAnsi="Verdana" w:cs="Arial"/>
                <w:sz w:val="20"/>
                <w:szCs w:val="20"/>
                <w:lang w:eastAsia="en-GB"/>
              </w:rPr>
            </w:pPr>
            <w:r w:rsidRPr="0C639946">
              <w:rPr>
                <w:rFonts w:ascii="Verdana" w:eastAsia="Times New Roman" w:hAnsi="Verdana" w:cs="Arial"/>
                <w:sz w:val="20"/>
                <w:szCs w:val="20"/>
                <w:lang w:eastAsia="en-GB"/>
              </w:rPr>
              <w:t xml:space="preserve">The programme consists of 40 credits of learning at Level 7 supporting the development of knowledge, understanding and skills for safe, </w:t>
            </w:r>
            <w:proofErr w:type="gramStart"/>
            <w:r w:rsidRPr="0C639946">
              <w:rPr>
                <w:rFonts w:ascii="Verdana" w:eastAsia="Times New Roman" w:hAnsi="Verdana" w:cs="Arial"/>
                <w:sz w:val="20"/>
                <w:szCs w:val="20"/>
                <w:lang w:eastAsia="en-GB"/>
              </w:rPr>
              <w:t>appropriate</w:t>
            </w:r>
            <w:proofErr w:type="gramEnd"/>
            <w:r w:rsidRPr="0C639946">
              <w:rPr>
                <w:rFonts w:ascii="Verdana" w:eastAsia="Times New Roman" w:hAnsi="Verdana" w:cs="Arial"/>
                <w:sz w:val="20"/>
                <w:szCs w:val="20"/>
                <w:lang w:eastAsia="en-GB"/>
              </w:rPr>
              <w:t xml:space="preserve"> and cost-effective prescribing. As a pharmacist independent prescriber in training, you will complete 26 days of scheduled learning and teaching which combine attendance for virtual, face-to-face, in-class work with more flexible directed and self-directed study supported by e-learning approaches.</w:t>
            </w:r>
            <w:r w:rsidRPr="0C639946">
              <w:rPr>
                <w:rFonts w:ascii="Verdana" w:eastAsia="Verdana" w:hAnsi="Verdana"/>
                <w:sz w:val="20"/>
                <w:szCs w:val="20"/>
              </w:rPr>
              <w:t xml:space="preserve"> Also, as a pharmacist independent prescriber in training, you are actively facilitated to apply and integrate your existing and developing professional knowledge and understanding within your clinical practice thus providing an educational experience which seeks to facilitate your clinical practice in your current environment as well as supporting your continuing development as a pharmacist prescriber in training. At all times, as a pharmacist independent prescriber in training who is a registrant of the General Pharmaceutical Council, you will be expected to adhere to the standards for pharmacy professionals (</w:t>
            </w:r>
            <w:proofErr w:type="spellStart"/>
            <w:r w:rsidRPr="0C639946">
              <w:rPr>
                <w:rFonts w:ascii="Verdana" w:eastAsia="Verdana" w:hAnsi="Verdana"/>
                <w:sz w:val="20"/>
                <w:szCs w:val="20"/>
              </w:rPr>
              <w:t>GPhC</w:t>
            </w:r>
            <w:proofErr w:type="spellEnd"/>
            <w:r w:rsidRPr="0C639946">
              <w:rPr>
                <w:rFonts w:ascii="Verdana" w:eastAsia="Verdana" w:hAnsi="Verdana"/>
                <w:sz w:val="20"/>
                <w:szCs w:val="20"/>
              </w:rPr>
              <w:t>, 2019).</w:t>
            </w:r>
          </w:p>
          <w:p w14:paraId="5BAB73D0" w14:textId="77777777" w:rsidR="00D266F1" w:rsidRPr="00363D2B" w:rsidRDefault="00D266F1" w:rsidP="004D667C">
            <w:pPr>
              <w:spacing w:before="120" w:after="120"/>
              <w:rPr>
                <w:rFonts w:ascii="Verdana" w:eastAsia="Verdana" w:hAnsi="Verdana"/>
                <w:sz w:val="20"/>
                <w:szCs w:val="20"/>
              </w:rPr>
            </w:pPr>
            <w:r w:rsidRPr="00363D2B">
              <w:rPr>
                <w:rFonts w:ascii="Verdana" w:eastAsia="Times New Roman" w:hAnsi="Verdana" w:cs="Arial"/>
                <w:sz w:val="20"/>
                <w:szCs w:val="20"/>
                <w:lang w:eastAsia="en-GB"/>
              </w:rPr>
              <w:t>Supervised learning in practice time is an integral part of this programme and</w:t>
            </w:r>
            <w:r w:rsidRPr="00363D2B">
              <w:rPr>
                <w:rFonts w:ascii="Verdana" w:eastAsia="Times New Roman" w:hAnsi="Verdana" w:cs="Tahoma"/>
                <w:sz w:val="20"/>
                <w:szCs w:val="20"/>
              </w:rPr>
              <w:t xml:space="preserve"> scheduled to run concurrently with theoretical learning throughout the programme. As a p</w:t>
            </w:r>
            <w:r w:rsidRPr="00363D2B">
              <w:rPr>
                <w:rFonts w:ascii="Verdana" w:eastAsia="Times New Roman" w:hAnsi="Verdana" w:cs="Arial"/>
                <w:sz w:val="20"/>
                <w:szCs w:val="20"/>
                <w:lang w:eastAsia="en-GB"/>
              </w:rPr>
              <w:t>harmacist independent prescriber in training</w:t>
            </w:r>
            <w:r w:rsidRPr="00363D2B">
              <w:rPr>
                <w:rFonts w:ascii="Verdana" w:eastAsia="Times New Roman" w:hAnsi="Verdana" w:cs="Arial"/>
                <w:sz w:val="20"/>
                <w:szCs w:val="20"/>
              </w:rPr>
              <w:t xml:space="preserve">, you will also </w:t>
            </w:r>
            <w:r w:rsidRPr="00363D2B">
              <w:rPr>
                <w:rFonts w:ascii="Verdana" w:eastAsia="Times New Roman" w:hAnsi="Verdana" w:cs="Tahoma"/>
                <w:sz w:val="20"/>
                <w:szCs w:val="20"/>
              </w:rPr>
              <w:t xml:space="preserve">complete 90 hours of learning in practice. </w:t>
            </w:r>
            <w:r w:rsidRPr="00363D2B">
              <w:rPr>
                <w:rFonts w:ascii="Verdana" w:eastAsia="Times New Roman" w:hAnsi="Verdana" w:cs="Tahoma"/>
                <w:strike/>
                <w:sz w:val="20"/>
                <w:szCs w:val="20"/>
              </w:rPr>
              <w:t xml:space="preserve"> </w:t>
            </w:r>
          </w:p>
          <w:p w14:paraId="5B86E93F" w14:textId="77777777" w:rsidR="00D266F1" w:rsidRPr="00363D2B" w:rsidRDefault="00D266F1" w:rsidP="004D667C">
            <w:pPr>
              <w:spacing w:before="120" w:after="120"/>
              <w:rPr>
                <w:rFonts w:ascii="Verdana" w:eastAsia="Times New Roman" w:hAnsi="Verdana" w:cs="Arial"/>
                <w:sz w:val="20"/>
                <w:szCs w:val="20"/>
                <w:lang w:eastAsia="en-GB"/>
              </w:rPr>
            </w:pPr>
            <w:r w:rsidRPr="00363D2B">
              <w:rPr>
                <w:rFonts w:ascii="Verdana" w:eastAsia="Times New Roman" w:hAnsi="Verdana" w:cs="Tahoma"/>
                <w:sz w:val="20"/>
                <w:szCs w:val="20"/>
              </w:rPr>
              <w:t>You are responsible for identifying a DPP who will demonstrate that they meet the criteria for eligibility as a DPP (</w:t>
            </w:r>
            <w:proofErr w:type="spellStart"/>
            <w:r w:rsidRPr="00363D2B">
              <w:rPr>
                <w:rFonts w:ascii="Verdana" w:eastAsia="Times New Roman" w:hAnsi="Verdana" w:cs="Tahoma"/>
                <w:sz w:val="20"/>
                <w:szCs w:val="20"/>
              </w:rPr>
              <w:t>GPhC</w:t>
            </w:r>
            <w:proofErr w:type="spellEnd"/>
            <w:r w:rsidRPr="00363D2B">
              <w:rPr>
                <w:rFonts w:ascii="Verdana" w:eastAsia="Times New Roman" w:hAnsi="Verdana" w:cs="Tahoma"/>
                <w:sz w:val="20"/>
                <w:szCs w:val="20"/>
              </w:rPr>
              <w:t>, 2019), and complete a self-assessed practice placement audit. It is part of the application process that the course providers agree that the DPP nominated by you, has the core competencies and opportunities to carry out the role effectively. Although</w:t>
            </w:r>
            <w:r w:rsidRPr="00363D2B">
              <w:rPr>
                <w:rFonts w:ascii="Verdana" w:eastAsia="Times New Roman" w:hAnsi="Verdana" w:cs="Arial"/>
                <w:sz w:val="20"/>
                <w:szCs w:val="20"/>
                <w:lang w:eastAsia="en-GB"/>
              </w:rPr>
              <w:t xml:space="preserve"> more than one person may be involved in supervising your practice as a pharmacist independent prescriber in training, the DPP will assume primary responsibility for your supervision, and responsibility for signing off your competence as a pharmacist independent prescriber in training. Therefore, the DPP will be required to support your learning and assessment on this course for a minimum of 30 hours. Further information for you and your DPP is available </w:t>
            </w:r>
            <w:hyperlink r:id="rId16" w:history="1">
              <w:r w:rsidRPr="00363D2B">
                <w:rPr>
                  <w:rFonts w:ascii="Verdana" w:eastAsia="Times New Roman" w:hAnsi="Verdana" w:cs="Arial"/>
                  <w:color w:val="0000FF"/>
                  <w:sz w:val="20"/>
                  <w:szCs w:val="20"/>
                  <w:u w:val="single"/>
                  <w:lang w:eastAsia="en-GB"/>
                </w:rPr>
                <w:t>here</w:t>
              </w:r>
            </w:hyperlink>
            <w:r w:rsidRPr="00363D2B">
              <w:rPr>
                <w:rFonts w:ascii="Verdana" w:eastAsia="Times New Roman" w:hAnsi="Verdana" w:cs="Arial"/>
                <w:sz w:val="20"/>
                <w:szCs w:val="20"/>
                <w:lang w:eastAsia="en-GB"/>
              </w:rPr>
              <w:t xml:space="preserve"> .</w:t>
            </w:r>
          </w:p>
          <w:p w14:paraId="61AF0B4C" w14:textId="77777777" w:rsidR="00D266F1" w:rsidRPr="00363D2B" w:rsidRDefault="00D266F1" w:rsidP="004D667C">
            <w:pPr>
              <w:spacing w:before="120" w:after="120"/>
              <w:rPr>
                <w:rFonts w:ascii="Verdana" w:eastAsia="Verdana" w:hAnsi="Verdana"/>
                <w:sz w:val="20"/>
                <w:szCs w:val="20"/>
              </w:rPr>
            </w:pPr>
            <w:r w:rsidRPr="00363D2B">
              <w:rPr>
                <w:rFonts w:ascii="Verdana" w:eastAsia="Verdana" w:hAnsi="Verdana"/>
                <w:sz w:val="20"/>
                <w:szCs w:val="20"/>
              </w:rPr>
              <w:t>Formative assessment is an important feature within the programme.  Gibbs (1999) advocates the notion of formative assessment being a shared experience, with a “social dimension”, arguing that it facilitates students’ ability to make judgements about the quality of work and to take responsibility for their own development and learning, responding to constructive feedback. Following formative feedback opportunities therefore, you are encouraged to reappraise and redraft your work to reflect your learning from the feedback provided.</w:t>
            </w:r>
          </w:p>
          <w:p w14:paraId="135154A7" w14:textId="77777777" w:rsidR="00D266F1" w:rsidRPr="00363D2B" w:rsidRDefault="00D266F1" w:rsidP="004D667C">
            <w:pPr>
              <w:spacing w:before="120" w:after="120"/>
              <w:rPr>
                <w:rFonts w:ascii="Verdana" w:eastAsia="Verdana" w:hAnsi="Verdana"/>
                <w:sz w:val="20"/>
                <w:szCs w:val="20"/>
              </w:rPr>
            </w:pPr>
            <w:r w:rsidRPr="00363D2B">
              <w:rPr>
                <w:rFonts w:ascii="Verdana" w:eastAsia="Verdana" w:hAnsi="Verdana"/>
                <w:sz w:val="20"/>
                <w:szCs w:val="20"/>
              </w:rPr>
              <w:t xml:space="preserve">Summative assessment is authentic, in that, assessment clearly aligns to programme and module level learning outcomes, </w:t>
            </w:r>
            <w:proofErr w:type="gramStart"/>
            <w:r w:rsidRPr="00363D2B">
              <w:rPr>
                <w:rFonts w:ascii="Verdana" w:eastAsia="Verdana" w:hAnsi="Verdana"/>
                <w:sz w:val="20"/>
                <w:szCs w:val="20"/>
              </w:rPr>
              <w:t>encourages</w:t>
            </w:r>
            <w:proofErr w:type="gramEnd"/>
            <w:r w:rsidRPr="00363D2B">
              <w:rPr>
                <w:rFonts w:ascii="Verdana" w:eastAsia="Verdana" w:hAnsi="Verdana"/>
                <w:sz w:val="20"/>
                <w:szCs w:val="20"/>
              </w:rPr>
              <w:t xml:space="preserve"> and enables progressive development through feedback, and is of relevance to practice needs that also develop skills and capacity for a wider employability context.</w:t>
            </w:r>
          </w:p>
          <w:p w14:paraId="32294FAE" w14:textId="77777777" w:rsidR="00D266F1" w:rsidRPr="00363D2B" w:rsidRDefault="00D266F1" w:rsidP="004D667C">
            <w:pPr>
              <w:spacing w:before="120" w:after="120"/>
              <w:rPr>
                <w:rFonts w:ascii="Verdana" w:hAnsi="Verdana"/>
                <w:sz w:val="20"/>
                <w:szCs w:val="20"/>
              </w:rPr>
            </w:pPr>
            <w:r w:rsidRPr="00363D2B">
              <w:rPr>
                <w:rFonts w:ascii="Verdana" w:hAnsi="Verdana"/>
                <w:sz w:val="20"/>
                <w:szCs w:val="20"/>
              </w:rPr>
              <w:t xml:space="preserve">As a student on this programme, you will be allocated a Personal Tutor who will be proactively involved in the delivery of your </w:t>
            </w:r>
            <w:proofErr w:type="gramStart"/>
            <w:r w:rsidRPr="00363D2B">
              <w:rPr>
                <w:rFonts w:ascii="Verdana" w:hAnsi="Verdana"/>
                <w:sz w:val="20"/>
                <w:szCs w:val="20"/>
              </w:rPr>
              <w:t>programme, and</w:t>
            </w:r>
            <w:proofErr w:type="gramEnd"/>
            <w:r w:rsidRPr="00363D2B">
              <w:rPr>
                <w:rFonts w:ascii="Verdana" w:hAnsi="Verdana"/>
                <w:sz w:val="20"/>
                <w:szCs w:val="20"/>
              </w:rPr>
              <w:t xml:space="preserve"> will have contact with you throughout your time at the University to support your learning and development.</w:t>
            </w:r>
          </w:p>
          <w:p w14:paraId="75E284D9" w14:textId="77777777" w:rsidR="00D266F1" w:rsidRDefault="00D266F1" w:rsidP="004D667C">
            <w:pPr>
              <w:spacing w:before="120" w:after="120"/>
              <w:rPr>
                <w:rFonts w:ascii="Verdana" w:eastAsia="Verdana" w:hAnsi="Verdana" w:cs="Verdana"/>
              </w:rPr>
            </w:pPr>
            <w:r w:rsidRPr="7930AD80">
              <w:rPr>
                <w:rFonts w:ascii="Verdana" w:hAnsi="Verdana"/>
                <w:sz w:val="20"/>
                <w:szCs w:val="20"/>
              </w:rPr>
              <w:t>The programme and its award are subject to the requirements and standards of the General Pharmaceutical Council (</w:t>
            </w:r>
            <w:proofErr w:type="spellStart"/>
            <w:r w:rsidRPr="7930AD80">
              <w:rPr>
                <w:rFonts w:ascii="Verdana" w:hAnsi="Verdana"/>
                <w:sz w:val="20"/>
                <w:szCs w:val="20"/>
              </w:rPr>
              <w:t>GPhC</w:t>
            </w:r>
            <w:proofErr w:type="spellEnd"/>
            <w:r w:rsidRPr="7930AD80">
              <w:rPr>
                <w:rFonts w:ascii="Verdana" w:hAnsi="Verdana"/>
                <w:sz w:val="20"/>
                <w:szCs w:val="20"/>
              </w:rPr>
              <w:t xml:space="preserve">) where these are applicable. Successful completion of this programme is not a guarantee of annotation with the </w:t>
            </w:r>
            <w:proofErr w:type="spellStart"/>
            <w:r w:rsidRPr="7930AD80">
              <w:rPr>
                <w:rFonts w:ascii="Verdana" w:hAnsi="Verdana"/>
                <w:sz w:val="20"/>
                <w:szCs w:val="20"/>
              </w:rPr>
              <w:t>GPhC</w:t>
            </w:r>
            <w:proofErr w:type="spellEnd"/>
            <w:r w:rsidRPr="7930AD80">
              <w:rPr>
                <w:rFonts w:ascii="Verdana" w:hAnsi="Verdana"/>
                <w:sz w:val="20"/>
                <w:szCs w:val="20"/>
              </w:rPr>
              <w:t xml:space="preserve"> or of future employment as a pharmacist independent prescriber. Accreditation reports and the timescales for future accreditations are available at: </w:t>
            </w:r>
            <w:hyperlink r:id="rId17">
              <w:r w:rsidRPr="7930AD80">
                <w:rPr>
                  <w:rStyle w:val="Hyperlink"/>
                  <w:rFonts w:ascii="Verdana" w:eastAsia="Verdana" w:hAnsi="Verdana" w:cs="Verdana"/>
                  <w:sz w:val="20"/>
                  <w:szCs w:val="20"/>
                </w:rPr>
                <w:t>Accredited independent prescribing programmes | General Pharmaceutical Council (pharmacyregulation.org)</w:t>
              </w:r>
            </w:hyperlink>
          </w:p>
        </w:tc>
      </w:tr>
    </w:tbl>
    <w:p w14:paraId="7DAC700D" w14:textId="77777777" w:rsidR="007721C5" w:rsidRDefault="007721C5" w:rsidP="004D667C">
      <w:pPr>
        <w:spacing w:before="120" w:after="12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10485"/>
      </w:tblGrid>
      <w:tr w:rsidR="006B34D2" w14:paraId="25646E8F" w14:textId="77777777" w:rsidTr="003C1FAB">
        <w:tc>
          <w:tcPr>
            <w:tcW w:w="10485" w:type="dxa"/>
            <w:tcBorders>
              <w:top w:val="single" w:sz="4" w:space="0" w:color="auto"/>
              <w:left w:val="single" w:sz="4" w:space="0" w:color="auto"/>
              <w:bottom w:val="single" w:sz="4" w:space="0" w:color="auto"/>
              <w:right w:val="single" w:sz="4" w:space="0" w:color="auto"/>
            </w:tcBorders>
            <w:shd w:val="clear" w:color="auto" w:fill="D6E3BC"/>
            <w:hideMark/>
          </w:tcPr>
          <w:p w14:paraId="5AF13C6C" w14:textId="46C7CB60" w:rsidR="006B34D2" w:rsidRPr="005B2120" w:rsidRDefault="006B34D2" w:rsidP="004D667C">
            <w:pPr>
              <w:spacing w:before="120" w:after="120"/>
              <w:rPr>
                <w:rFonts w:ascii="Verdana" w:hAnsi="Verdana"/>
                <w:b/>
                <w:bCs/>
              </w:rPr>
            </w:pPr>
            <w:r w:rsidRPr="005B2120">
              <w:rPr>
                <w:rFonts w:ascii="Verdana" w:hAnsi="Verdana"/>
                <w:b/>
                <w:bCs/>
              </w:rPr>
              <w:t>Programme Learning Outcomes</w:t>
            </w:r>
          </w:p>
          <w:p w14:paraId="328F651F" w14:textId="699F7009" w:rsidR="006B34D2" w:rsidRDefault="006B34D2" w:rsidP="004D667C">
            <w:pPr>
              <w:spacing w:before="120" w:after="120"/>
              <w:rPr>
                <w:rFonts w:ascii="Verdana" w:hAnsi="Verdana"/>
                <w:sz w:val="20"/>
                <w:szCs w:val="20"/>
              </w:rPr>
            </w:pPr>
            <w:r w:rsidRPr="005B2120">
              <w:rPr>
                <w:rFonts w:ascii="Verdana" w:hAnsi="Verdana"/>
              </w:rPr>
              <w:lastRenderedPageBreak/>
              <w:t>By the end of this Programme learners will be able to:</w:t>
            </w:r>
          </w:p>
        </w:tc>
      </w:tr>
      <w:tr w:rsidR="006B34D2" w14:paraId="0BC94C96" w14:textId="77777777" w:rsidTr="003C1FAB">
        <w:tc>
          <w:tcPr>
            <w:tcW w:w="10485" w:type="dxa"/>
            <w:tcBorders>
              <w:top w:val="single" w:sz="4" w:space="0" w:color="auto"/>
              <w:left w:val="single" w:sz="4" w:space="0" w:color="auto"/>
              <w:bottom w:val="single" w:sz="4" w:space="0" w:color="auto"/>
              <w:right w:val="single" w:sz="4" w:space="0" w:color="auto"/>
            </w:tcBorders>
            <w:shd w:val="clear" w:color="auto" w:fill="auto"/>
            <w:hideMark/>
          </w:tcPr>
          <w:p w14:paraId="6DDD3A37" w14:textId="0806439F" w:rsidR="001D61BA" w:rsidRPr="001D61BA" w:rsidRDefault="7A8A6F9A" w:rsidP="004D667C">
            <w:pPr>
              <w:spacing w:before="120" w:after="120"/>
              <w:rPr>
                <w:rFonts w:ascii="Verdana" w:eastAsia="Times New Roman" w:hAnsi="Verdana" w:cs="Arial"/>
                <w:sz w:val="20"/>
                <w:szCs w:val="20"/>
                <w:lang w:eastAsia="en-GB"/>
              </w:rPr>
            </w:pPr>
            <w:r w:rsidRPr="4D69E6E4">
              <w:rPr>
                <w:rFonts w:ascii="Verdana" w:eastAsia="Times New Roman" w:hAnsi="Verdana" w:cs="Arial"/>
                <w:sz w:val="20"/>
                <w:szCs w:val="20"/>
                <w:lang w:eastAsia="en-GB"/>
              </w:rPr>
              <w:lastRenderedPageBreak/>
              <w:t xml:space="preserve">The aims of the programme are to provide a challenging and flexible learning environment for registered pharmacists to develop as competent prescribers who are </w:t>
            </w:r>
            <w:r w:rsidRPr="4D69E6E4">
              <w:rPr>
                <w:rFonts w:ascii="Verdana" w:eastAsia="Times New Roman" w:hAnsi="Verdana" w:cs="Tahoma"/>
                <w:sz w:val="20"/>
                <w:szCs w:val="20"/>
              </w:rPr>
              <w:t>eligible</w:t>
            </w:r>
            <w:r w:rsidRPr="4D69E6E4">
              <w:rPr>
                <w:rFonts w:ascii="Verdana" w:eastAsia="Times New Roman" w:hAnsi="Verdana" w:cs="Arial"/>
                <w:sz w:val="20"/>
                <w:szCs w:val="20"/>
                <w:lang w:eastAsia="en-GB"/>
              </w:rPr>
              <w:t xml:space="preserve"> to seek to apply for annotation on the register of the </w:t>
            </w:r>
            <w:proofErr w:type="spellStart"/>
            <w:r w:rsidRPr="4D69E6E4">
              <w:rPr>
                <w:rFonts w:ascii="Verdana" w:eastAsia="Times New Roman" w:hAnsi="Verdana" w:cs="Arial"/>
                <w:sz w:val="20"/>
                <w:szCs w:val="20"/>
                <w:lang w:eastAsia="en-GB"/>
              </w:rPr>
              <w:t>GPhC</w:t>
            </w:r>
            <w:proofErr w:type="spellEnd"/>
            <w:r w:rsidRPr="4D69E6E4">
              <w:rPr>
                <w:rFonts w:ascii="Verdana" w:eastAsia="Times New Roman" w:hAnsi="Verdana" w:cs="Arial"/>
                <w:sz w:val="20"/>
                <w:szCs w:val="20"/>
                <w:lang w:eastAsia="en-GB"/>
              </w:rPr>
              <w:t xml:space="preserve"> as pharmacist independent prescribers.</w:t>
            </w:r>
          </w:p>
          <w:p w14:paraId="5B0F4577" w14:textId="0EB051AD" w:rsidR="001D61BA" w:rsidRPr="001D61BA" w:rsidRDefault="7A8A6F9A" w:rsidP="004D667C">
            <w:pPr>
              <w:spacing w:before="120" w:after="120"/>
              <w:rPr>
                <w:rFonts w:ascii="Verdana" w:eastAsia="Times New Roman" w:hAnsi="Verdana" w:cs="Tahoma"/>
                <w:sz w:val="20"/>
                <w:szCs w:val="20"/>
              </w:rPr>
            </w:pPr>
            <w:r w:rsidRPr="4D69E6E4">
              <w:rPr>
                <w:rFonts w:ascii="Verdana" w:eastAsia="Times New Roman" w:hAnsi="Verdana" w:cs="Tahoma"/>
                <w:sz w:val="20"/>
                <w:szCs w:val="20"/>
              </w:rPr>
              <w:t xml:space="preserve">Learning outcomes for the programme are specified by the </w:t>
            </w:r>
            <w:proofErr w:type="spellStart"/>
            <w:r w:rsidRPr="4D69E6E4">
              <w:rPr>
                <w:rFonts w:ascii="Verdana" w:eastAsia="Times New Roman" w:hAnsi="Verdana" w:cs="Tahoma"/>
                <w:sz w:val="20"/>
                <w:szCs w:val="20"/>
              </w:rPr>
              <w:t>GPhC</w:t>
            </w:r>
            <w:proofErr w:type="spellEnd"/>
            <w:r w:rsidR="31F0CB6A" w:rsidRPr="4D69E6E4">
              <w:rPr>
                <w:rFonts w:ascii="Verdana" w:eastAsia="Times New Roman" w:hAnsi="Verdana" w:cs="Tahoma"/>
                <w:sz w:val="20"/>
                <w:szCs w:val="20"/>
              </w:rPr>
              <w:t xml:space="preserve"> and linked to the RPS framework (2021)</w:t>
            </w:r>
            <w:r w:rsidRPr="4D69E6E4">
              <w:rPr>
                <w:rFonts w:ascii="Verdana" w:eastAsia="Times New Roman" w:hAnsi="Verdana" w:cs="Tahoma"/>
                <w:sz w:val="20"/>
                <w:szCs w:val="20"/>
              </w:rPr>
              <w:t>. These can be demonstrated within the six broad Learning Outcomes identified below in relation to:</w:t>
            </w:r>
          </w:p>
          <w:p w14:paraId="607885CF" w14:textId="5A0E4CA2" w:rsidR="001D61BA" w:rsidRPr="00EF2D8F" w:rsidRDefault="34B06F9B" w:rsidP="004D667C">
            <w:pPr>
              <w:numPr>
                <w:ilvl w:val="0"/>
                <w:numId w:val="31"/>
              </w:numPr>
              <w:spacing w:before="120" w:after="120"/>
              <w:rPr>
                <w:rFonts w:ascii="Verdana" w:eastAsia="Times New Roman" w:hAnsi="Verdana" w:cs="Tahoma"/>
                <w:sz w:val="20"/>
                <w:szCs w:val="20"/>
              </w:rPr>
            </w:pPr>
            <w:r w:rsidRPr="00EF2D8F">
              <w:rPr>
                <w:rFonts w:ascii="Verdana" w:eastAsia="Times New Roman" w:hAnsi="Verdana" w:cs="Tahoma"/>
                <w:sz w:val="20"/>
                <w:szCs w:val="20"/>
              </w:rPr>
              <w:t>T</w:t>
            </w:r>
            <w:r w:rsidR="30CEB9A8" w:rsidRPr="00EF2D8F">
              <w:rPr>
                <w:rFonts w:ascii="Verdana" w:eastAsia="Times New Roman" w:hAnsi="Verdana" w:cs="Tahoma"/>
                <w:sz w:val="20"/>
                <w:szCs w:val="20"/>
              </w:rPr>
              <w:t>he patient/client</w:t>
            </w:r>
          </w:p>
          <w:p w14:paraId="58AC3720" w14:textId="06A80E29" w:rsidR="001D61BA" w:rsidRPr="00EF2D8F" w:rsidRDefault="2F425FF0" w:rsidP="004D667C">
            <w:pPr>
              <w:pStyle w:val="ListParagraph"/>
              <w:numPr>
                <w:ilvl w:val="0"/>
                <w:numId w:val="31"/>
              </w:numPr>
              <w:spacing w:before="120" w:after="120"/>
              <w:rPr>
                <w:rFonts w:ascii="Verdana" w:eastAsia="Verdana" w:hAnsi="Verdana" w:cs="Verdana"/>
                <w:sz w:val="20"/>
                <w:szCs w:val="20"/>
              </w:rPr>
            </w:pPr>
            <w:r w:rsidRPr="00EF2D8F">
              <w:rPr>
                <w:rFonts w:ascii="Verdana" w:hAnsi="Verdana"/>
                <w:sz w:val="20"/>
                <w:szCs w:val="20"/>
              </w:rPr>
              <w:t>Shared decision-marking/Public Health</w:t>
            </w:r>
          </w:p>
          <w:p w14:paraId="676096CE" w14:textId="7DBB41A9" w:rsidR="28AA37BD" w:rsidRPr="00EF2D8F" w:rsidRDefault="3E17D51A" w:rsidP="004D667C">
            <w:pPr>
              <w:numPr>
                <w:ilvl w:val="0"/>
                <w:numId w:val="31"/>
              </w:numPr>
              <w:spacing w:before="120" w:after="120"/>
              <w:rPr>
                <w:rFonts w:ascii="Verdana" w:eastAsia="Verdana" w:hAnsi="Verdana" w:cs="Verdana"/>
              </w:rPr>
            </w:pPr>
            <w:r w:rsidRPr="00EF2D8F">
              <w:rPr>
                <w:rFonts w:ascii="Verdana" w:hAnsi="Verdana"/>
                <w:sz w:val="20"/>
                <w:szCs w:val="20"/>
              </w:rPr>
              <w:t>Pharmacology</w:t>
            </w:r>
          </w:p>
          <w:p w14:paraId="4DBD3FDC" w14:textId="11FBD5FE" w:rsidR="001D61BA" w:rsidRPr="00EF2D8F" w:rsidRDefault="34B06F9B" w:rsidP="004D667C">
            <w:pPr>
              <w:numPr>
                <w:ilvl w:val="0"/>
                <w:numId w:val="31"/>
              </w:numPr>
              <w:spacing w:before="120" w:after="120"/>
              <w:rPr>
                <w:rFonts w:ascii="Verdana" w:eastAsia="Times New Roman" w:hAnsi="Verdana" w:cs="Tahoma"/>
                <w:sz w:val="20"/>
                <w:szCs w:val="20"/>
              </w:rPr>
            </w:pPr>
            <w:r w:rsidRPr="00EF2D8F">
              <w:rPr>
                <w:rFonts w:ascii="Verdana" w:eastAsia="Times New Roman" w:hAnsi="Verdana" w:cs="Tahoma"/>
                <w:sz w:val="20"/>
                <w:szCs w:val="20"/>
              </w:rPr>
              <w:t>T</w:t>
            </w:r>
            <w:r w:rsidR="30CEB9A8" w:rsidRPr="00EF2D8F">
              <w:rPr>
                <w:rFonts w:ascii="Verdana" w:eastAsia="Times New Roman" w:hAnsi="Verdana" w:cs="Tahoma"/>
                <w:sz w:val="20"/>
                <w:szCs w:val="20"/>
              </w:rPr>
              <w:t>he context</w:t>
            </w:r>
          </w:p>
          <w:p w14:paraId="65000FA4" w14:textId="4E65FD75" w:rsidR="26023B3A" w:rsidRPr="00EF2D8F" w:rsidRDefault="78D51558" w:rsidP="004D667C">
            <w:pPr>
              <w:numPr>
                <w:ilvl w:val="0"/>
                <w:numId w:val="31"/>
              </w:numPr>
              <w:spacing w:before="120" w:after="120"/>
              <w:rPr>
                <w:rFonts w:ascii="Verdana" w:eastAsia="Verdana" w:hAnsi="Verdana" w:cs="Verdana"/>
                <w:sz w:val="20"/>
                <w:szCs w:val="20"/>
              </w:rPr>
            </w:pPr>
            <w:r w:rsidRPr="00EF2D8F">
              <w:rPr>
                <w:rFonts w:ascii="Verdana" w:hAnsi="Verdana"/>
                <w:sz w:val="20"/>
                <w:szCs w:val="20"/>
              </w:rPr>
              <w:t>Legal and ethical frameworks</w:t>
            </w:r>
          </w:p>
          <w:p w14:paraId="4CDDD483" w14:textId="59E13FE0" w:rsidR="00EF2D8F" w:rsidRPr="00CB214C" w:rsidRDefault="00EF2D8F" w:rsidP="00CB214C">
            <w:pPr>
              <w:pStyle w:val="ListParagraph"/>
              <w:numPr>
                <w:ilvl w:val="0"/>
                <w:numId w:val="31"/>
              </w:numPr>
              <w:spacing w:before="120" w:after="120"/>
              <w:rPr>
                <w:rFonts w:ascii="Verdana" w:eastAsia="Times New Roman" w:hAnsi="Verdana" w:cs="Tahoma"/>
                <w:sz w:val="20"/>
                <w:szCs w:val="20"/>
              </w:rPr>
            </w:pPr>
            <w:r w:rsidRPr="00EF2D8F">
              <w:rPr>
                <w:rFonts w:ascii="Verdana" w:eastAsia="Verdana" w:hAnsi="Verdana" w:cs="Verdana"/>
                <w:sz w:val="20"/>
                <w:szCs w:val="20"/>
              </w:rPr>
              <w:t>Clinical governance and personal development.</w:t>
            </w:r>
          </w:p>
          <w:p w14:paraId="2E3692F0" w14:textId="77777777" w:rsidR="001D61BA" w:rsidRDefault="2A7F12D3" w:rsidP="004D667C">
            <w:pPr>
              <w:spacing w:before="120" w:after="120"/>
              <w:rPr>
                <w:rFonts w:ascii="Verdana" w:eastAsia="Times New Roman" w:hAnsi="Verdana" w:cs="Arial"/>
                <w:color w:val="000000" w:themeColor="text1"/>
                <w:sz w:val="20"/>
                <w:szCs w:val="20"/>
                <w:lang w:eastAsia="en-GB"/>
              </w:rPr>
            </w:pPr>
            <w:r w:rsidRPr="7930AD80">
              <w:rPr>
                <w:rFonts w:ascii="Verdana" w:eastAsia="Times New Roman" w:hAnsi="Verdana" w:cs="Arial"/>
                <w:color w:val="000000" w:themeColor="text1"/>
                <w:sz w:val="20"/>
                <w:szCs w:val="20"/>
                <w:lang w:eastAsia="en-GB"/>
              </w:rPr>
              <w:t>These are expressed in more detail below, and on the relevant Module Descriptor as follows:</w:t>
            </w:r>
          </w:p>
          <w:p w14:paraId="5B2F1B19" w14:textId="4F009FDD" w:rsidR="0080146B" w:rsidRPr="0080146B" w:rsidRDefault="0080146B" w:rsidP="0080146B">
            <w:pPr>
              <w:pStyle w:val="ListParagraph"/>
              <w:numPr>
                <w:ilvl w:val="0"/>
                <w:numId w:val="32"/>
              </w:numPr>
              <w:spacing w:before="120" w:after="120"/>
              <w:rPr>
                <w:rFonts w:ascii="Verdana" w:eastAsia="Times New Roman" w:hAnsi="Verdana" w:cs="Arial"/>
                <w:color w:val="000000" w:themeColor="text1"/>
                <w:sz w:val="20"/>
                <w:szCs w:val="20"/>
                <w:lang w:eastAsia="en-GB"/>
              </w:rPr>
            </w:pPr>
            <w:r w:rsidRPr="0080146B">
              <w:rPr>
                <w:rFonts w:ascii="Verdana" w:eastAsia="Verdana" w:hAnsi="Verdana" w:cs="Verdana"/>
                <w:b/>
                <w:bCs/>
                <w:color w:val="000000" w:themeColor="text1"/>
                <w:sz w:val="20"/>
                <w:szCs w:val="20"/>
              </w:rPr>
              <w:t>In relation to</w:t>
            </w:r>
            <w:r w:rsidRPr="0080146B">
              <w:rPr>
                <w:rFonts w:ascii="Verdana" w:eastAsia="Verdana" w:hAnsi="Verdana" w:cs="Verdana"/>
                <w:color w:val="000000" w:themeColor="text1"/>
                <w:sz w:val="20"/>
                <w:szCs w:val="20"/>
              </w:rPr>
              <w:t xml:space="preserve"> </w:t>
            </w:r>
            <w:r w:rsidRPr="0080146B">
              <w:rPr>
                <w:rFonts w:ascii="Verdana" w:eastAsia="Verdana" w:hAnsi="Verdana" w:cs="Verdana"/>
                <w:b/>
                <w:bCs/>
                <w:color w:val="000000" w:themeColor="text1"/>
                <w:sz w:val="20"/>
                <w:szCs w:val="20"/>
              </w:rPr>
              <w:t>effective consultation with the patient/client</w:t>
            </w:r>
            <w:r w:rsidRPr="0080146B">
              <w:rPr>
                <w:rFonts w:ascii="Verdana" w:eastAsia="Verdana" w:hAnsi="Verdana" w:cs="Verdana"/>
                <w:color w:val="000000" w:themeColor="text1"/>
                <w:sz w:val="20"/>
                <w:szCs w:val="20"/>
              </w:rPr>
              <w:t>: use current research to critically discuss effective consultation with patients and carers to undertake an appropriate medical, social and medication history, conduct an appropriate clinical assessment, interpret relevant  investigations, demonstrate understanding of the pathophysiology, signs and symptoms of the presenting complaint, and form a differential diagnosis in order to assess the patient/client’s need for medicines, make a safe and effective prescribing decision, and to close the consultation;</w:t>
            </w:r>
          </w:p>
          <w:p w14:paraId="5DB2608B" w14:textId="1F2EA4E4" w:rsidR="0080146B" w:rsidRPr="0080146B" w:rsidRDefault="0080146B" w:rsidP="0080146B">
            <w:pPr>
              <w:pStyle w:val="ListParagraph"/>
              <w:numPr>
                <w:ilvl w:val="0"/>
                <w:numId w:val="32"/>
              </w:numPr>
              <w:spacing w:before="120" w:after="120"/>
              <w:rPr>
                <w:rFonts w:ascii="Verdana" w:eastAsia="Times New Roman" w:hAnsi="Verdana" w:cs="Arial"/>
                <w:color w:val="000000" w:themeColor="text1"/>
                <w:sz w:val="20"/>
                <w:szCs w:val="20"/>
                <w:lang w:eastAsia="en-GB"/>
              </w:rPr>
            </w:pPr>
            <w:r w:rsidRPr="7930AD80">
              <w:rPr>
                <w:rFonts w:ascii="Verdana" w:eastAsia="Verdana" w:hAnsi="Verdana" w:cs="Verdana"/>
                <w:b/>
                <w:bCs/>
                <w:color w:val="000000" w:themeColor="text1"/>
                <w:sz w:val="20"/>
                <w:szCs w:val="20"/>
              </w:rPr>
              <w:t>In relation to shared decision making with the patient/client:</w:t>
            </w:r>
            <w:r w:rsidRPr="7930AD80">
              <w:rPr>
                <w:rFonts w:ascii="Verdana" w:eastAsia="Verdana" w:hAnsi="Verdana" w:cs="Verdana"/>
                <w:color w:val="000000" w:themeColor="text1"/>
                <w:sz w:val="20"/>
                <w:szCs w:val="20"/>
              </w:rPr>
              <w:t xml:space="preserve"> critically evaluate factors, including communication skills, which impact on prescribing in partnership with the patient/client, which take account of the patient’s wishes and values about their health and treatment with medicines, support informed choices in the context of public health issues and without the expectation that a prescription will be supplied, the value of non-pharmacological approaches to modifying disease and promoting health, to ensure appropriate prescribing and satisfactory outcomes for patient/client and prescriber;</w:t>
            </w:r>
          </w:p>
          <w:p w14:paraId="217856FB" w14:textId="5D8B09A8" w:rsidR="0080146B" w:rsidRPr="0080146B" w:rsidRDefault="0080146B" w:rsidP="0080146B">
            <w:pPr>
              <w:pStyle w:val="ListParagraph"/>
              <w:numPr>
                <w:ilvl w:val="0"/>
                <w:numId w:val="32"/>
              </w:numPr>
              <w:spacing w:before="120" w:after="120"/>
              <w:rPr>
                <w:rFonts w:ascii="Verdana" w:eastAsia="Times New Roman" w:hAnsi="Verdana" w:cs="Arial"/>
                <w:color w:val="000000" w:themeColor="text1"/>
                <w:sz w:val="20"/>
                <w:szCs w:val="20"/>
                <w:lang w:eastAsia="en-GB"/>
              </w:rPr>
            </w:pPr>
            <w:r w:rsidRPr="7930AD80">
              <w:rPr>
                <w:rFonts w:ascii="Verdana" w:eastAsia="Verdana" w:hAnsi="Verdana" w:cs="Verdana"/>
                <w:b/>
                <w:bCs/>
                <w:color w:val="000000" w:themeColor="text1"/>
                <w:sz w:val="20"/>
                <w:szCs w:val="20"/>
              </w:rPr>
              <w:t>In relation to medicines:</w:t>
            </w:r>
            <w:r w:rsidRPr="7930AD80">
              <w:rPr>
                <w:rFonts w:ascii="Verdana" w:eastAsia="Verdana" w:hAnsi="Verdana" w:cs="Verdana"/>
                <w:color w:val="000000" w:themeColor="text1"/>
                <w:sz w:val="20"/>
                <w:szCs w:val="20"/>
              </w:rPr>
              <w:t xml:space="preserve"> demonstrate clarity of reasoning in relation to the relevance of pharmacodynamics and pharmacokinetics and apply the knowledge to your own prescribing practice, using relevant sources of information, advice and decision support to underpin accurate prescribing and prescription </w:t>
            </w:r>
            <w:proofErr w:type="gramStart"/>
            <w:r w:rsidRPr="7930AD80">
              <w:rPr>
                <w:rFonts w:ascii="Verdana" w:eastAsia="Verdana" w:hAnsi="Verdana" w:cs="Verdana"/>
                <w:color w:val="000000" w:themeColor="text1"/>
                <w:sz w:val="20"/>
                <w:szCs w:val="20"/>
              </w:rPr>
              <w:t>writing;</w:t>
            </w:r>
            <w:proofErr w:type="gramEnd"/>
          </w:p>
          <w:p w14:paraId="79304446" w14:textId="03F26327" w:rsidR="0080146B" w:rsidRPr="0080146B" w:rsidRDefault="0080146B" w:rsidP="0080146B">
            <w:pPr>
              <w:pStyle w:val="ListParagraph"/>
              <w:numPr>
                <w:ilvl w:val="0"/>
                <w:numId w:val="32"/>
              </w:numPr>
              <w:spacing w:before="120" w:after="120"/>
              <w:rPr>
                <w:rFonts w:ascii="Verdana" w:eastAsia="Times New Roman" w:hAnsi="Verdana" w:cs="Arial"/>
                <w:color w:val="000000" w:themeColor="text1"/>
                <w:sz w:val="20"/>
                <w:szCs w:val="20"/>
                <w:lang w:eastAsia="en-GB"/>
              </w:rPr>
            </w:pPr>
            <w:r w:rsidRPr="7930AD80">
              <w:rPr>
                <w:rFonts w:ascii="Verdana" w:eastAsia="Verdana" w:hAnsi="Verdana" w:cs="Verdana"/>
                <w:b/>
                <w:bCs/>
                <w:color w:val="000000" w:themeColor="text1"/>
                <w:sz w:val="20"/>
                <w:szCs w:val="20"/>
              </w:rPr>
              <w:t xml:space="preserve">In relation to the evidence base for medicines </w:t>
            </w:r>
            <w:proofErr w:type="gramStart"/>
            <w:r w:rsidRPr="7930AD80">
              <w:rPr>
                <w:rFonts w:ascii="Verdana" w:eastAsia="Verdana" w:hAnsi="Verdana" w:cs="Verdana"/>
                <w:b/>
                <w:bCs/>
                <w:color w:val="000000" w:themeColor="text1"/>
                <w:sz w:val="20"/>
                <w:szCs w:val="20"/>
              </w:rPr>
              <w:t>use</w:t>
            </w:r>
            <w:r w:rsidRPr="7930AD80">
              <w:rPr>
                <w:rFonts w:ascii="Verdana" w:eastAsia="Verdana" w:hAnsi="Verdana" w:cs="Verdana"/>
                <w:color w:val="000000" w:themeColor="text1"/>
                <w:sz w:val="20"/>
                <w:szCs w:val="20"/>
              </w:rPr>
              <w:t>:</w:t>
            </w:r>
            <w:proofErr w:type="gramEnd"/>
            <w:r w:rsidRPr="7930AD80">
              <w:rPr>
                <w:rFonts w:ascii="Verdana" w:eastAsia="Verdana" w:hAnsi="Verdana" w:cs="Verdana"/>
                <w:color w:val="000000" w:themeColor="text1"/>
                <w:sz w:val="20"/>
                <w:szCs w:val="20"/>
              </w:rPr>
              <w:t xml:space="preserve"> show a systematic and critical understanding of influences on prescribing practice at individual, local and national levels, critique sources of information, advice and decision support, taking into account evidence-based practice, national and local guidelines demonstrating how you will use them to prescribe safely, appropriately and cost effectively;</w:t>
            </w:r>
          </w:p>
          <w:p w14:paraId="23F66CE4" w14:textId="42A4FB01" w:rsidR="0080146B" w:rsidRPr="0080146B" w:rsidRDefault="0080146B" w:rsidP="0080146B">
            <w:pPr>
              <w:pStyle w:val="ListParagraph"/>
              <w:numPr>
                <w:ilvl w:val="0"/>
                <w:numId w:val="32"/>
              </w:numPr>
              <w:spacing w:before="120" w:after="120"/>
              <w:rPr>
                <w:rFonts w:ascii="Verdana" w:eastAsia="Times New Roman" w:hAnsi="Verdana" w:cs="Arial"/>
                <w:color w:val="000000" w:themeColor="text1"/>
                <w:sz w:val="20"/>
                <w:szCs w:val="20"/>
                <w:lang w:eastAsia="en-GB"/>
              </w:rPr>
            </w:pPr>
            <w:r w:rsidRPr="7930AD80">
              <w:rPr>
                <w:rFonts w:ascii="Verdana" w:eastAsia="Verdana" w:hAnsi="Verdana" w:cs="Verdana"/>
                <w:b/>
                <w:bCs/>
                <w:color w:val="000000" w:themeColor="text1"/>
                <w:sz w:val="20"/>
                <w:szCs w:val="20"/>
              </w:rPr>
              <w:t>In relation to legal, professional and ethical frameworks:</w:t>
            </w:r>
            <w:r w:rsidRPr="7930AD80">
              <w:rPr>
                <w:rFonts w:ascii="Verdana" w:eastAsia="Verdana" w:hAnsi="Verdana" w:cs="Verdana"/>
                <w:color w:val="000000" w:themeColor="text1"/>
                <w:sz w:val="20"/>
                <w:szCs w:val="20"/>
              </w:rPr>
              <w:t xml:space="preserve"> interrogate the benefits and demonstrate a critical awareness of legal, professional and ethical frameworks including the responsibility that your role as an independent prescriber entails, demonstrate initiative and personal responsibility for working within the scope of your professional competence and the ability to refer/consult with other appropriate health care professionals in a timely manner, justify the application of legal and professional frameworks for accountability and responsibility in relation to independent and supplementary prescribing, demonstrate effective communication with other prescribers/health care professionals and record keeping in the context of medicines management;</w:t>
            </w:r>
          </w:p>
          <w:p w14:paraId="4816AACE" w14:textId="1267B01E" w:rsidR="006B34D2" w:rsidRPr="0080146B" w:rsidRDefault="0080146B" w:rsidP="004D667C">
            <w:pPr>
              <w:pStyle w:val="ListParagraph"/>
              <w:numPr>
                <w:ilvl w:val="0"/>
                <w:numId w:val="32"/>
              </w:numPr>
              <w:spacing w:before="120" w:after="120"/>
              <w:rPr>
                <w:rFonts w:ascii="Verdana" w:eastAsia="Times New Roman" w:hAnsi="Verdana" w:cs="Arial"/>
                <w:color w:val="000000" w:themeColor="text1"/>
                <w:sz w:val="20"/>
                <w:szCs w:val="20"/>
                <w:lang w:eastAsia="en-GB"/>
              </w:rPr>
            </w:pPr>
            <w:r w:rsidRPr="7930AD80">
              <w:rPr>
                <w:rFonts w:ascii="Verdana" w:eastAsia="Verdana" w:hAnsi="Verdana" w:cs="Verdana"/>
                <w:b/>
                <w:bCs/>
                <w:color w:val="000000" w:themeColor="text1"/>
                <w:sz w:val="20"/>
                <w:szCs w:val="20"/>
              </w:rPr>
              <w:lastRenderedPageBreak/>
              <w:t>In relation to clinical governance and personal development:</w:t>
            </w:r>
            <w:r w:rsidRPr="7930AD80">
              <w:rPr>
                <w:rFonts w:ascii="Verdana" w:eastAsia="Verdana" w:hAnsi="Verdana" w:cs="Verdana"/>
                <w:color w:val="000000" w:themeColor="text1"/>
                <w:sz w:val="20"/>
                <w:szCs w:val="20"/>
              </w:rPr>
              <w:t xml:space="preserve"> demonstrate a critical awareness of the clinical governance frameworks used to support safe prescribing and manage risk, including audit, feedback and reflection of your prescribing practice and development, provide evidence of your Continuing Professional Development plan post qualification as a prescriber.</w:t>
            </w:r>
          </w:p>
        </w:tc>
      </w:tr>
    </w:tbl>
    <w:p w14:paraId="60061E4C" w14:textId="77777777" w:rsidR="006B34D2" w:rsidRDefault="006B34D2" w:rsidP="004D667C">
      <w:pPr>
        <w:spacing w:before="120" w:after="120"/>
        <w:rPr>
          <w:rFonts w:ascii="Verdana" w:hAnsi="Verdana"/>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B34D2" w14:paraId="774090E9" w14:textId="77777777" w:rsidTr="003C1FAB">
        <w:tc>
          <w:tcPr>
            <w:tcW w:w="5000" w:type="pct"/>
            <w:tcBorders>
              <w:top w:val="single" w:sz="4" w:space="0" w:color="auto"/>
              <w:left w:val="single" w:sz="4" w:space="0" w:color="auto"/>
              <w:bottom w:val="single" w:sz="4" w:space="0" w:color="auto"/>
              <w:right w:val="single" w:sz="4" w:space="0" w:color="auto"/>
            </w:tcBorders>
            <w:shd w:val="clear" w:color="auto" w:fill="D6E3BC"/>
            <w:vAlign w:val="center"/>
            <w:hideMark/>
          </w:tcPr>
          <w:p w14:paraId="2DFDBE2D" w14:textId="2E44D426" w:rsidR="006B34D2" w:rsidRPr="00F9696C" w:rsidRDefault="00F9696C" w:rsidP="004D667C">
            <w:pPr>
              <w:spacing w:before="120" w:after="120"/>
              <w:rPr>
                <w:rFonts w:ascii="Verdana" w:hAnsi="Verdana" w:cs="Arial"/>
                <w:b/>
              </w:rPr>
            </w:pPr>
            <w:r>
              <w:rPr>
                <w:rFonts w:ascii="Verdana" w:hAnsi="Verdana" w:cs="Arial"/>
                <w:b/>
              </w:rPr>
              <w:t>Level Descriptors</w:t>
            </w:r>
          </w:p>
        </w:tc>
      </w:tr>
      <w:tr w:rsidR="006B34D2" w14:paraId="3B2A9101" w14:textId="77777777" w:rsidTr="003C1FA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864121" w14:textId="47050AAD" w:rsidR="006B34D2" w:rsidRDefault="006B34D2" w:rsidP="004D667C">
            <w:pPr>
              <w:spacing w:before="120" w:after="120"/>
              <w:rPr>
                <w:rFonts w:ascii="Verdana" w:hAnsi="Verdana" w:cs="StoneSans"/>
                <w:color w:val="231F20"/>
                <w:sz w:val="20"/>
                <w:szCs w:val="20"/>
                <w:lang w:eastAsia="en-GB"/>
              </w:rPr>
            </w:pPr>
            <w:r w:rsidRPr="7930AD80">
              <w:rPr>
                <w:rFonts w:ascii="Verdana" w:hAnsi="Verdana" w:cs="Arial"/>
                <w:sz w:val="20"/>
                <w:szCs w:val="20"/>
              </w:rPr>
              <w:t xml:space="preserve">Level Descriptors describe in general terms the expected outcomes you will achieve at each level of study as you progress through your programmes.  They describe the </w:t>
            </w:r>
            <w:r w:rsidRPr="7930AD80">
              <w:rPr>
                <w:rFonts w:ascii="Verdana" w:hAnsi="Verdana" w:cs="StoneSans"/>
                <w:color w:val="231F20"/>
                <w:sz w:val="20"/>
                <w:szCs w:val="20"/>
                <w:lang w:eastAsia="en-GB"/>
              </w:rPr>
              <w:t xml:space="preserve">relative demand, complexity, depth of learning and learner autonomy associated with a particular level of learning and achievement.  The University’s Level Descriptors are aligned to the national </w:t>
            </w:r>
            <w:hyperlink r:id="rId18">
              <w:r w:rsidRPr="7930AD80">
                <w:rPr>
                  <w:rStyle w:val="Hyperlink"/>
                  <w:rFonts w:ascii="Verdana" w:hAnsi="Verdana" w:cs="StoneSans"/>
                  <w:sz w:val="20"/>
                  <w:szCs w:val="20"/>
                  <w:lang w:eastAsia="en-GB"/>
                </w:rPr>
                <w:t>Framework for Higher Education Qualifications</w:t>
              </w:r>
            </w:hyperlink>
            <w:r w:rsidRPr="7930AD80">
              <w:rPr>
                <w:rFonts w:ascii="Verdana" w:hAnsi="Verdana" w:cs="StoneSans"/>
                <w:color w:val="231F20"/>
                <w:sz w:val="20"/>
                <w:szCs w:val="20"/>
                <w:lang w:eastAsia="en-GB"/>
              </w:rPr>
              <w:t xml:space="preserve"> (FHEQ) and are a key mechanism for ensuring the academic standards of the University’s provision.</w:t>
            </w:r>
          </w:p>
        </w:tc>
      </w:tr>
      <w:tr w:rsidR="006B34D2" w14:paraId="0B93ED2E" w14:textId="77777777" w:rsidTr="003C1FA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2BEA8E" w14:textId="77777777" w:rsidR="006B34D2" w:rsidRDefault="006B34D2" w:rsidP="004D667C">
            <w:pPr>
              <w:spacing w:before="120" w:after="120"/>
              <w:rPr>
                <w:rFonts w:ascii="Verdana" w:hAnsi="Verdana" w:cs="Arial"/>
                <w:sz w:val="20"/>
                <w:szCs w:val="20"/>
              </w:rPr>
            </w:pPr>
            <w:r>
              <w:rPr>
                <w:rFonts w:ascii="Verdana" w:hAnsi="Verdana" w:cs="Arial"/>
                <w:sz w:val="20"/>
                <w:szCs w:val="20"/>
              </w:rPr>
              <w:t xml:space="preserve">At Level 7 (Usually Master’s level), you will be able to demonstrate that you have the ability: </w:t>
            </w:r>
          </w:p>
          <w:p w14:paraId="1345ACC8" w14:textId="77777777" w:rsidR="006B34D2" w:rsidRDefault="006B34D2" w:rsidP="004D667C">
            <w:pPr>
              <w:numPr>
                <w:ilvl w:val="0"/>
                <w:numId w:val="10"/>
              </w:numPr>
              <w:spacing w:before="120" w:after="120"/>
              <w:rPr>
                <w:rFonts w:ascii="Verdana" w:hAnsi="Verdana" w:cs="Arial"/>
                <w:sz w:val="20"/>
                <w:szCs w:val="20"/>
              </w:rPr>
            </w:pPr>
            <w:r>
              <w:rPr>
                <w:rFonts w:ascii="Verdana" w:hAnsi="Verdana" w:cs="Arial"/>
                <w:sz w:val="20"/>
                <w:szCs w:val="20"/>
              </w:rPr>
              <w:t>To display a systematic understanding of knowledge, and a critical awareness of current problems and/or new insights, much of which is at, or informed by, the forefront of your academic discipline, field of study or area of professional practice.</w:t>
            </w:r>
          </w:p>
          <w:p w14:paraId="4EAD9E2F" w14:textId="77777777" w:rsidR="006B34D2" w:rsidRDefault="006B34D2" w:rsidP="004D667C">
            <w:pPr>
              <w:numPr>
                <w:ilvl w:val="0"/>
                <w:numId w:val="10"/>
              </w:numPr>
              <w:spacing w:before="120" w:after="120"/>
              <w:rPr>
                <w:rFonts w:ascii="Verdana" w:hAnsi="Verdana" w:cs="Arial"/>
                <w:sz w:val="20"/>
                <w:szCs w:val="20"/>
              </w:rPr>
            </w:pPr>
            <w:r>
              <w:rPr>
                <w:rFonts w:ascii="Verdana" w:hAnsi="Verdana" w:cs="Arial"/>
                <w:sz w:val="20"/>
                <w:szCs w:val="20"/>
              </w:rPr>
              <w:t>Employ advanced subject-specific and cognitive skills to enable decision-making in complex and unpredictable situations.</w:t>
            </w:r>
          </w:p>
          <w:p w14:paraId="57510A6E" w14:textId="6C5BF3A8" w:rsidR="006B34D2" w:rsidRDefault="006B34D2" w:rsidP="004D667C">
            <w:pPr>
              <w:numPr>
                <w:ilvl w:val="0"/>
                <w:numId w:val="10"/>
              </w:numPr>
              <w:spacing w:before="120" w:after="120"/>
              <w:rPr>
                <w:rFonts w:ascii="Verdana" w:hAnsi="Verdana" w:cs="Arial"/>
                <w:sz w:val="20"/>
                <w:szCs w:val="20"/>
              </w:rPr>
            </w:pPr>
            <w:r>
              <w:rPr>
                <w:rFonts w:ascii="Verdana" w:hAnsi="Verdana" w:cs="Arial"/>
                <w:sz w:val="20"/>
                <w:szCs w:val="20"/>
              </w:rPr>
              <w:t>Generate new ideas and support the achievement of desired outcomes</w:t>
            </w:r>
            <w:r w:rsidR="00E47E09">
              <w:rPr>
                <w:rFonts w:ascii="Verdana" w:hAnsi="Verdana" w:cs="Arial"/>
                <w:sz w:val="20"/>
                <w:szCs w:val="20"/>
              </w:rPr>
              <w:t>.</w:t>
            </w:r>
          </w:p>
          <w:p w14:paraId="786B0481" w14:textId="1E9F525E" w:rsidR="006B34D2" w:rsidRDefault="006B34D2" w:rsidP="004D667C">
            <w:pPr>
              <w:numPr>
                <w:ilvl w:val="0"/>
                <w:numId w:val="10"/>
              </w:numPr>
              <w:spacing w:before="120" w:after="120"/>
              <w:rPr>
                <w:rFonts w:ascii="Verdana" w:hAnsi="Verdana" w:cs="Arial"/>
                <w:sz w:val="20"/>
                <w:szCs w:val="20"/>
              </w:rPr>
            </w:pPr>
            <w:r>
              <w:rPr>
                <w:rFonts w:ascii="Verdana" w:hAnsi="Verdana" w:cs="Arial"/>
                <w:sz w:val="20"/>
                <w:szCs w:val="20"/>
              </w:rPr>
              <w:t>Accept accountability for decision making including the use of supervision</w:t>
            </w:r>
            <w:r w:rsidR="00E47E09">
              <w:rPr>
                <w:rFonts w:ascii="Verdana" w:hAnsi="Verdana" w:cs="Arial"/>
                <w:sz w:val="20"/>
                <w:szCs w:val="20"/>
              </w:rPr>
              <w:t>.</w:t>
            </w:r>
          </w:p>
          <w:p w14:paraId="39DFE85B" w14:textId="6127ADFF" w:rsidR="006B34D2" w:rsidRDefault="006B34D2" w:rsidP="004D667C">
            <w:pPr>
              <w:numPr>
                <w:ilvl w:val="0"/>
                <w:numId w:val="10"/>
              </w:numPr>
              <w:spacing w:before="120" w:after="120"/>
              <w:rPr>
                <w:rFonts w:ascii="Verdana" w:hAnsi="Verdana" w:cs="Arial"/>
                <w:sz w:val="20"/>
                <w:szCs w:val="20"/>
              </w:rPr>
            </w:pPr>
            <w:r>
              <w:rPr>
                <w:rFonts w:ascii="Verdana" w:hAnsi="Verdana" w:cs="Arial"/>
                <w:sz w:val="20"/>
                <w:szCs w:val="20"/>
              </w:rPr>
              <w:t>Analyse complex concepts and professional situations by means of synthesis of personal and workplace reflection and data drawn from scholarship and research in the field.</w:t>
            </w:r>
          </w:p>
        </w:tc>
      </w:tr>
    </w:tbl>
    <w:p w14:paraId="4B7C3482" w14:textId="1C0D2EC8" w:rsidR="0FE78FCB" w:rsidRDefault="0FE78FCB" w:rsidP="004D667C">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10456"/>
      </w:tblGrid>
      <w:tr w:rsidR="006B34D2" w14:paraId="6FE15D33" w14:textId="77777777" w:rsidTr="001C48AF">
        <w:tc>
          <w:tcPr>
            <w:tcW w:w="10456"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79E10FB7" w14:textId="77777777" w:rsidR="006B34D2" w:rsidRDefault="006B34D2" w:rsidP="004D667C">
            <w:pPr>
              <w:spacing w:before="120" w:after="120"/>
              <w:rPr>
                <w:rFonts w:ascii="Verdana" w:hAnsi="Verdana"/>
              </w:rPr>
            </w:pPr>
            <w:r>
              <w:rPr>
                <w:rFonts w:ascii="Verdana" w:hAnsi="Verdana"/>
                <w:b/>
              </w:rPr>
              <w:t>Programme Outcomes – Knowledge and Understanding</w:t>
            </w:r>
            <w:r>
              <w:rPr>
                <w:rFonts w:ascii="Verdana" w:hAnsi="Verdana"/>
              </w:rPr>
              <w:t xml:space="preserve"> </w:t>
            </w:r>
          </w:p>
          <w:p w14:paraId="7759C432" w14:textId="157E086E" w:rsidR="006B34D2" w:rsidRPr="00C7285A" w:rsidRDefault="00C7285A" w:rsidP="004D667C">
            <w:pPr>
              <w:spacing w:before="120" w:after="120"/>
              <w:rPr>
                <w:rFonts w:ascii="Verdana" w:hAnsi="Verdana"/>
              </w:rPr>
            </w:pPr>
            <w:r w:rsidRPr="00C7285A">
              <w:rPr>
                <w:rFonts w:ascii="Verdana" w:hAnsi="Verdana"/>
              </w:rPr>
              <w:t xml:space="preserve">The programme provides opportunities for you to develop and demonstrate the knowledge and understanding identified by the </w:t>
            </w:r>
            <w:proofErr w:type="spellStart"/>
            <w:r w:rsidRPr="00C7285A">
              <w:rPr>
                <w:rFonts w:ascii="Verdana" w:hAnsi="Verdana"/>
              </w:rPr>
              <w:t>GPhC</w:t>
            </w:r>
            <w:proofErr w:type="spellEnd"/>
            <w:r w:rsidRPr="00C7285A">
              <w:rPr>
                <w:rFonts w:ascii="Verdana" w:hAnsi="Verdana"/>
              </w:rPr>
              <w:t xml:space="preserve"> (2019) for pharmacist independent prescribers at the point of annotation:</w:t>
            </w:r>
          </w:p>
        </w:tc>
      </w:tr>
      <w:tr w:rsidR="00F9696C" w:rsidRPr="00F9696C" w14:paraId="43D919B6" w14:textId="77777777" w:rsidTr="001C48AF">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1B7F38" w14:textId="77777777" w:rsidR="00F9696C" w:rsidRPr="00F9696C" w:rsidRDefault="00F9696C" w:rsidP="004D667C">
            <w:pPr>
              <w:spacing w:before="120" w:after="120"/>
              <w:rPr>
                <w:rFonts w:ascii="Verdana" w:hAnsi="Verdana"/>
                <w:b/>
                <w:sz w:val="20"/>
                <w:szCs w:val="20"/>
              </w:rPr>
            </w:pPr>
            <w:r w:rsidRPr="00F9696C">
              <w:rPr>
                <w:rFonts w:ascii="Verdana" w:hAnsi="Verdana"/>
                <w:b/>
                <w:sz w:val="20"/>
                <w:szCs w:val="20"/>
              </w:rPr>
              <w:t>Domain 1: Person-centred care:</w:t>
            </w:r>
          </w:p>
          <w:p w14:paraId="02EC8108"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K1.1 Knowledge of the psychological and physical impact of prescribing decisions on </w:t>
            </w:r>
            <w:proofErr w:type="gramStart"/>
            <w:r w:rsidRPr="00F9696C">
              <w:rPr>
                <w:rFonts w:ascii="Verdana" w:hAnsi="Verdana"/>
                <w:sz w:val="20"/>
                <w:szCs w:val="20"/>
              </w:rPr>
              <w:t>people;</w:t>
            </w:r>
            <w:proofErr w:type="gramEnd"/>
            <w:r w:rsidRPr="00F9696C">
              <w:rPr>
                <w:rFonts w:ascii="Verdana" w:hAnsi="Verdana"/>
                <w:sz w:val="20"/>
                <w:szCs w:val="20"/>
              </w:rPr>
              <w:t xml:space="preserve"> </w:t>
            </w:r>
          </w:p>
          <w:p w14:paraId="461EC2C8"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K1.2 Legal responsibilities under equality and human rights legislation and respect diversity and cultural </w:t>
            </w:r>
            <w:proofErr w:type="gramStart"/>
            <w:r w:rsidRPr="00F9696C">
              <w:rPr>
                <w:rFonts w:ascii="Verdana" w:hAnsi="Verdana"/>
                <w:sz w:val="20"/>
                <w:szCs w:val="20"/>
              </w:rPr>
              <w:t>differences;</w:t>
            </w:r>
            <w:proofErr w:type="gramEnd"/>
            <w:r w:rsidRPr="00F9696C">
              <w:rPr>
                <w:rFonts w:ascii="Verdana" w:hAnsi="Verdana"/>
                <w:sz w:val="20"/>
                <w:szCs w:val="20"/>
              </w:rPr>
              <w:t xml:space="preserve"> </w:t>
            </w:r>
          </w:p>
          <w:p w14:paraId="25235950"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K1.3 The way in person-centred care should not be compromised because of personal values and </w:t>
            </w:r>
            <w:proofErr w:type="gramStart"/>
            <w:r w:rsidRPr="00F9696C">
              <w:rPr>
                <w:rFonts w:ascii="Verdana" w:hAnsi="Verdana"/>
                <w:sz w:val="20"/>
                <w:szCs w:val="20"/>
              </w:rPr>
              <w:t>beliefs;</w:t>
            </w:r>
            <w:proofErr w:type="gramEnd"/>
          </w:p>
          <w:p w14:paraId="582616B2"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K1.4 History-taking techniques for effective consultation </w:t>
            </w:r>
            <w:proofErr w:type="gramStart"/>
            <w:r w:rsidRPr="00F9696C">
              <w:rPr>
                <w:rFonts w:ascii="Verdana" w:hAnsi="Verdana"/>
                <w:sz w:val="20"/>
                <w:szCs w:val="20"/>
              </w:rPr>
              <w:t>skills;</w:t>
            </w:r>
            <w:proofErr w:type="gramEnd"/>
            <w:r w:rsidRPr="00F9696C">
              <w:rPr>
                <w:rFonts w:ascii="Verdana" w:hAnsi="Verdana"/>
                <w:sz w:val="20"/>
                <w:szCs w:val="20"/>
              </w:rPr>
              <w:t xml:space="preserve"> </w:t>
            </w:r>
          </w:p>
          <w:p w14:paraId="48419330"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K1.5 The role of the prescriber in working in partnership with people who may not be able to make fully informed decisions about their health </w:t>
            </w:r>
            <w:proofErr w:type="gramStart"/>
            <w:r w:rsidRPr="00F9696C">
              <w:rPr>
                <w:rFonts w:ascii="Verdana" w:hAnsi="Verdana"/>
                <w:sz w:val="20"/>
                <w:szCs w:val="20"/>
              </w:rPr>
              <w:t>needs;</w:t>
            </w:r>
            <w:proofErr w:type="gramEnd"/>
            <w:r w:rsidRPr="00F9696C">
              <w:rPr>
                <w:rFonts w:ascii="Verdana" w:hAnsi="Verdana"/>
                <w:sz w:val="20"/>
                <w:szCs w:val="20"/>
              </w:rPr>
              <w:t xml:space="preserve"> </w:t>
            </w:r>
          </w:p>
          <w:p w14:paraId="16B88131"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K1.6 How to support individuals to make informed choices that respect people’s preferences.</w:t>
            </w:r>
          </w:p>
          <w:p w14:paraId="3F40E5BB" w14:textId="77777777" w:rsidR="00F9696C" w:rsidRPr="00F9696C" w:rsidRDefault="00F9696C" w:rsidP="004D667C">
            <w:pPr>
              <w:spacing w:before="120" w:after="120"/>
              <w:rPr>
                <w:rFonts w:ascii="Verdana" w:hAnsi="Verdana"/>
                <w:b/>
                <w:sz w:val="20"/>
                <w:szCs w:val="20"/>
              </w:rPr>
            </w:pPr>
            <w:r w:rsidRPr="00F9696C">
              <w:rPr>
                <w:rFonts w:ascii="Verdana" w:hAnsi="Verdana"/>
                <w:b/>
                <w:sz w:val="20"/>
                <w:szCs w:val="20"/>
              </w:rPr>
              <w:lastRenderedPageBreak/>
              <w:t>Domain 2: Professionalism:</w:t>
            </w:r>
          </w:p>
          <w:p w14:paraId="37BA01DD"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K2.1 Your own role and the role of others in multi-professional </w:t>
            </w:r>
            <w:proofErr w:type="gramStart"/>
            <w:r w:rsidRPr="00F9696C">
              <w:rPr>
                <w:rFonts w:ascii="Verdana" w:hAnsi="Verdana"/>
                <w:sz w:val="20"/>
                <w:szCs w:val="20"/>
              </w:rPr>
              <w:t>teams;</w:t>
            </w:r>
            <w:proofErr w:type="gramEnd"/>
            <w:r w:rsidRPr="00F9696C">
              <w:rPr>
                <w:rFonts w:ascii="Verdana" w:hAnsi="Verdana"/>
                <w:sz w:val="20"/>
                <w:szCs w:val="20"/>
              </w:rPr>
              <w:t xml:space="preserve"> </w:t>
            </w:r>
          </w:p>
          <w:p w14:paraId="75E64756"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K2.2 Responsibility and accountability as a prescriber who understands legal and ethical </w:t>
            </w:r>
            <w:proofErr w:type="gramStart"/>
            <w:r w:rsidRPr="00F9696C">
              <w:rPr>
                <w:rFonts w:ascii="Verdana" w:hAnsi="Verdana"/>
                <w:sz w:val="20"/>
                <w:szCs w:val="20"/>
              </w:rPr>
              <w:t>implications;</w:t>
            </w:r>
            <w:proofErr w:type="gramEnd"/>
            <w:r w:rsidRPr="00F9696C">
              <w:rPr>
                <w:rFonts w:ascii="Verdana" w:hAnsi="Verdana"/>
                <w:sz w:val="20"/>
                <w:szCs w:val="20"/>
              </w:rPr>
              <w:t xml:space="preserve"> </w:t>
            </w:r>
          </w:p>
          <w:p w14:paraId="1E4B9618" w14:textId="77777777" w:rsidR="00F9696C" w:rsidRPr="00F9696C" w:rsidRDefault="00F9696C" w:rsidP="004D667C">
            <w:pPr>
              <w:spacing w:before="120" w:after="120"/>
              <w:rPr>
                <w:rFonts w:ascii="Verdana" w:hAnsi="Verdana"/>
                <w:b/>
                <w:sz w:val="20"/>
                <w:szCs w:val="20"/>
              </w:rPr>
            </w:pPr>
            <w:r w:rsidRPr="00F9696C">
              <w:rPr>
                <w:rFonts w:ascii="Verdana" w:hAnsi="Verdana"/>
                <w:sz w:val="20"/>
                <w:szCs w:val="20"/>
              </w:rPr>
              <w:t>K2.3</w:t>
            </w:r>
            <w:r w:rsidRPr="00F9696C">
              <w:rPr>
                <w:rFonts w:ascii="Verdana" w:hAnsi="Verdana"/>
                <w:b/>
                <w:sz w:val="20"/>
                <w:szCs w:val="20"/>
              </w:rPr>
              <w:t xml:space="preserve"> </w:t>
            </w:r>
            <w:r w:rsidRPr="00F9696C">
              <w:rPr>
                <w:rFonts w:ascii="Verdana" w:hAnsi="Verdana"/>
                <w:sz w:val="20"/>
                <w:szCs w:val="20"/>
              </w:rPr>
              <w:t xml:space="preserve">Relevant legislation and ethical frameworks related to prescribing, including remote prescribing and the handling and sharing of confidential </w:t>
            </w:r>
            <w:proofErr w:type="gramStart"/>
            <w:r w:rsidRPr="00F9696C">
              <w:rPr>
                <w:rFonts w:ascii="Verdana" w:hAnsi="Verdana"/>
                <w:sz w:val="20"/>
                <w:szCs w:val="20"/>
              </w:rPr>
              <w:t>information;</w:t>
            </w:r>
            <w:proofErr w:type="gramEnd"/>
          </w:p>
          <w:p w14:paraId="54C9E744"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K2.4 Factors that may influence prescribing </w:t>
            </w:r>
            <w:proofErr w:type="gramStart"/>
            <w:r w:rsidRPr="00F9696C">
              <w:rPr>
                <w:rFonts w:ascii="Verdana" w:hAnsi="Verdana"/>
                <w:sz w:val="20"/>
                <w:szCs w:val="20"/>
              </w:rPr>
              <w:t>decisions;</w:t>
            </w:r>
            <w:proofErr w:type="gramEnd"/>
            <w:r w:rsidRPr="00F9696C">
              <w:rPr>
                <w:rFonts w:ascii="Verdana" w:hAnsi="Verdana"/>
                <w:sz w:val="20"/>
                <w:szCs w:val="20"/>
              </w:rPr>
              <w:t xml:space="preserve"> </w:t>
            </w:r>
          </w:p>
          <w:p w14:paraId="60B9FFA8"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K2.5 Local, regional and national guidelines, policies and legislation related to </w:t>
            </w:r>
            <w:proofErr w:type="gramStart"/>
            <w:r w:rsidRPr="00F9696C">
              <w:rPr>
                <w:rFonts w:ascii="Verdana" w:hAnsi="Verdana"/>
                <w:sz w:val="20"/>
                <w:szCs w:val="20"/>
              </w:rPr>
              <w:t>healthcare;</w:t>
            </w:r>
            <w:proofErr w:type="gramEnd"/>
            <w:r w:rsidRPr="00F9696C">
              <w:rPr>
                <w:rFonts w:ascii="Verdana" w:hAnsi="Verdana"/>
                <w:sz w:val="20"/>
                <w:szCs w:val="20"/>
              </w:rPr>
              <w:t xml:space="preserve"> </w:t>
            </w:r>
          </w:p>
          <w:p w14:paraId="5A91B5B5"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K2.6 Reflection and development of prescribing practice to ensure it represents current best </w:t>
            </w:r>
            <w:proofErr w:type="gramStart"/>
            <w:r w:rsidRPr="00F9696C">
              <w:rPr>
                <w:rFonts w:ascii="Verdana" w:hAnsi="Verdana"/>
                <w:sz w:val="20"/>
                <w:szCs w:val="20"/>
              </w:rPr>
              <w:t>practice;</w:t>
            </w:r>
            <w:proofErr w:type="gramEnd"/>
            <w:r w:rsidRPr="00F9696C">
              <w:rPr>
                <w:rFonts w:ascii="Verdana" w:hAnsi="Verdana"/>
                <w:sz w:val="20"/>
                <w:szCs w:val="20"/>
              </w:rPr>
              <w:t xml:space="preserve"> </w:t>
            </w:r>
          </w:p>
          <w:p w14:paraId="22F4CD41"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K2.7 Health economics when making prescribing </w:t>
            </w:r>
            <w:proofErr w:type="gramStart"/>
            <w:r w:rsidRPr="00F9696C">
              <w:rPr>
                <w:rFonts w:ascii="Verdana" w:hAnsi="Verdana"/>
                <w:sz w:val="20"/>
                <w:szCs w:val="20"/>
              </w:rPr>
              <w:t>decisions;</w:t>
            </w:r>
            <w:proofErr w:type="gramEnd"/>
            <w:r w:rsidRPr="00F9696C">
              <w:rPr>
                <w:rFonts w:ascii="Verdana" w:hAnsi="Verdana"/>
                <w:sz w:val="20"/>
                <w:szCs w:val="20"/>
              </w:rPr>
              <w:t xml:space="preserve"> </w:t>
            </w:r>
          </w:p>
          <w:p w14:paraId="2472EAB1"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K2.8 Clinical governance of prescribers, who may also be in a position to supply medicines to </w:t>
            </w:r>
            <w:proofErr w:type="gramStart"/>
            <w:r w:rsidRPr="00F9696C">
              <w:rPr>
                <w:rFonts w:ascii="Verdana" w:hAnsi="Verdana"/>
                <w:sz w:val="20"/>
                <w:szCs w:val="20"/>
              </w:rPr>
              <w:t>people;</w:t>
            </w:r>
            <w:proofErr w:type="gramEnd"/>
            <w:r w:rsidRPr="00F9696C">
              <w:rPr>
                <w:rFonts w:ascii="Verdana" w:hAnsi="Verdana"/>
                <w:sz w:val="20"/>
                <w:szCs w:val="20"/>
              </w:rPr>
              <w:t xml:space="preserve"> </w:t>
            </w:r>
          </w:p>
          <w:p w14:paraId="67A244FE"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K2.9 Recognition of other professionals’ practice and how to raise concerns related to inappropriate or unsafe prescribing by other prescribers.</w:t>
            </w:r>
          </w:p>
          <w:p w14:paraId="573DA30E" w14:textId="77777777" w:rsidR="00F9696C" w:rsidRPr="00F9696C" w:rsidRDefault="00F9696C" w:rsidP="004D667C">
            <w:pPr>
              <w:spacing w:before="120" w:after="120"/>
              <w:rPr>
                <w:rFonts w:ascii="Verdana" w:hAnsi="Verdana"/>
                <w:b/>
                <w:sz w:val="20"/>
                <w:szCs w:val="20"/>
              </w:rPr>
            </w:pPr>
            <w:r w:rsidRPr="00F9696C">
              <w:rPr>
                <w:rFonts w:ascii="Verdana" w:hAnsi="Verdana"/>
                <w:b/>
                <w:sz w:val="20"/>
                <w:szCs w:val="20"/>
              </w:rPr>
              <w:t>Domain 3: Professional knowledge and skills:</w:t>
            </w:r>
          </w:p>
          <w:p w14:paraId="72A547AB"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K3.1 Evidence-based decision-making in all aspects of </w:t>
            </w:r>
            <w:proofErr w:type="gramStart"/>
            <w:r w:rsidRPr="00F9696C">
              <w:rPr>
                <w:rFonts w:ascii="Verdana" w:hAnsi="Verdana"/>
                <w:sz w:val="20"/>
                <w:szCs w:val="20"/>
              </w:rPr>
              <w:t>prescribing;</w:t>
            </w:r>
            <w:proofErr w:type="gramEnd"/>
            <w:r w:rsidRPr="00F9696C">
              <w:rPr>
                <w:rFonts w:ascii="Verdana" w:hAnsi="Verdana"/>
                <w:sz w:val="20"/>
                <w:szCs w:val="20"/>
              </w:rPr>
              <w:t xml:space="preserve"> </w:t>
            </w:r>
          </w:p>
          <w:p w14:paraId="49BB676D"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K3.2 The risks and benefits associated with prescribing </w:t>
            </w:r>
            <w:proofErr w:type="gramStart"/>
            <w:r w:rsidRPr="00F9696C">
              <w:rPr>
                <w:rFonts w:ascii="Verdana" w:hAnsi="Verdana"/>
                <w:sz w:val="20"/>
                <w:szCs w:val="20"/>
              </w:rPr>
              <w:t>decisions;</w:t>
            </w:r>
            <w:proofErr w:type="gramEnd"/>
          </w:p>
          <w:p w14:paraId="357BA7A0"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K3.3 Pharmacology in relation to your own prescribing </w:t>
            </w:r>
            <w:proofErr w:type="gramStart"/>
            <w:r w:rsidRPr="00F9696C">
              <w:rPr>
                <w:rFonts w:ascii="Verdana" w:hAnsi="Verdana"/>
                <w:sz w:val="20"/>
                <w:szCs w:val="20"/>
              </w:rPr>
              <w:t>practice;</w:t>
            </w:r>
            <w:proofErr w:type="gramEnd"/>
            <w:r w:rsidRPr="00F9696C">
              <w:rPr>
                <w:rFonts w:ascii="Verdana" w:hAnsi="Verdana"/>
                <w:sz w:val="20"/>
                <w:szCs w:val="20"/>
              </w:rPr>
              <w:t xml:space="preserve"> </w:t>
            </w:r>
          </w:p>
          <w:p w14:paraId="63DA7599"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K3.4 Clinical and diagnostic skills in clinical settings appropriate to your scope of </w:t>
            </w:r>
            <w:proofErr w:type="gramStart"/>
            <w:r w:rsidRPr="00F9696C">
              <w:rPr>
                <w:rFonts w:ascii="Verdana" w:hAnsi="Verdana"/>
                <w:sz w:val="20"/>
                <w:szCs w:val="20"/>
              </w:rPr>
              <w:t>practice;</w:t>
            </w:r>
            <w:proofErr w:type="gramEnd"/>
            <w:r w:rsidRPr="00F9696C">
              <w:rPr>
                <w:rFonts w:ascii="Verdana" w:hAnsi="Verdana"/>
                <w:sz w:val="20"/>
                <w:szCs w:val="20"/>
              </w:rPr>
              <w:t xml:space="preserve"> </w:t>
            </w:r>
          </w:p>
          <w:p w14:paraId="4EDE4B91"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K3.5 Record keeping that ensures safe and effective care and align with relevant </w:t>
            </w:r>
            <w:proofErr w:type="gramStart"/>
            <w:r w:rsidRPr="00F9696C">
              <w:rPr>
                <w:rFonts w:ascii="Verdana" w:hAnsi="Verdana"/>
                <w:sz w:val="20"/>
                <w:szCs w:val="20"/>
              </w:rPr>
              <w:t>legislation;</w:t>
            </w:r>
            <w:proofErr w:type="gramEnd"/>
            <w:r w:rsidRPr="00F9696C">
              <w:rPr>
                <w:rFonts w:ascii="Verdana" w:hAnsi="Verdana"/>
                <w:sz w:val="20"/>
                <w:szCs w:val="20"/>
              </w:rPr>
              <w:t xml:space="preserve"> </w:t>
            </w:r>
          </w:p>
          <w:p w14:paraId="4105E37A"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K3.6 Relevant investigations and interpret results and data in your prescribing </w:t>
            </w:r>
            <w:proofErr w:type="gramStart"/>
            <w:r w:rsidRPr="00F9696C">
              <w:rPr>
                <w:rFonts w:ascii="Verdana" w:hAnsi="Verdana"/>
                <w:sz w:val="20"/>
                <w:szCs w:val="20"/>
              </w:rPr>
              <w:t>practice;</w:t>
            </w:r>
            <w:proofErr w:type="gramEnd"/>
            <w:r w:rsidRPr="00F9696C">
              <w:rPr>
                <w:rFonts w:ascii="Verdana" w:hAnsi="Verdana"/>
                <w:sz w:val="20"/>
                <w:szCs w:val="20"/>
              </w:rPr>
              <w:t xml:space="preserve"> </w:t>
            </w:r>
          </w:p>
          <w:p w14:paraId="19F48515"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K3.7 Current and emerging systems and technologies in safe </w:t>
            </w:r>
            <w:proofErr w:type="gramStart"/>
            <w:r w:rsidRPr="00F9696C">
              <w:rPr>
                <w:rFonts w:ascii="Verdana" w:hAnsi="Verdana"/>
                <w:sz w:val="20"/>
                <w:szCs w:val="20"/>
              </w:rPr>
              <w:t>prescribing;</w:t>
            </w:r>
            <w:proofErr w:type="gramEnd"/>
            <w:r w:rsidRPr="00F9696C">
              <w:rPr>
                <w:rFonts w:ascii="Verdana" w:hAnsi="Verdana"/>
                <w:sz w:val="20"/>
                <w:szCs w:val="20"/>
              </w:rPr>
              <w:t xml:space="preserve"> </w:t>
            </w:r>
          </w:p>
          <w:p w14:paraId="54A22E3A"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K3.8 Identification and response to people’s need when prescribing </w:t>
            </w:r>
            <w:proofErr w:type="gramStart"/>
            <w:r w:rsidRPr="00F9696C">
              <w:rPr>
                <w:rFonts w:ascii="Verdana" w:hAnsi="Verdana"/>
                <w:sz w:val="20"/>
                <w:szCs w:val="20"/>
              </w:rPr>
              <w:t>remotely;</w:t>
            </w:r>
            <w:proofErr w:type="gramEnd"/>
            <w:r w:rsidRPr="00F9696C">
              <w:rPr>
                <w:rFonts w:ascii="Verdana" w:hAnsi="Verdana"/>
                <w:sz w:val="20"/>
                <w:szCs w:val="20"/>
              </w:rPr>
              <w:t xml:space="preserve"> </w:t>
            </w:r>
          </w:p>
          <w:p w14:paraId="6CD4385D"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K3.9 Monitoring and management to improve patient </w:t>
            </w:r>
            <w:proofErr w:type="gramStart"/>
            <w:r w:rsidRPr="00F9696C">
              <w:rPr>
                <w:rFonts w:ascii="Verdana" w:hAnsi="Verdana"/>
                <w:sz w:val="20"/>
                <w:szCs w:val="20"/>
              </w:rPr>
              <w:t>outcomes;</w:t>
            </w:r>
            <w:proofErr w:type="gramEnd"/>
            <w:r w:rsidRPr="00F9696C">
              <w:rPr>
                <w:rFonts w:ascii="Verdana" w:hAnsi="Verdana"/>
                <w:sz w:val="20"/>
                <w:szCs w:val="20"/>
              </w:rPr>
              <w:t xml:space="preserve"> </w:t>
            </w:r>
          </w:p>
          <w:p w14:paraId="24834B10"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K3.10 Recognition and management of prescribing and medication </w:t>
            </w:r>
            <w:proofErr w:type="gramStart"/>
            <w:r w:rsidRPr="00F9696C">
              <w:rPr>
                <w:rFonts w:ascii="Verdana" w:hAnsi="Verdana"/>
                <w:sz w:val="20"/>
                <w:szCs w:val="20"/>
              </w:rPr>
              <w:t>errors;</w:t>
            </w:r>
            <w:proofErr w:type="gramEnd"/>
            <w:r w:rsidRPr="00F9696C">
              <w:rPr>
                <w:rFonts w:ascii="Verdana" w:hAnsi="Verdana"/>
                <w:sz w:val="20"/>
                <w:szCs w:val="20"/>
              </w:rPr>
              <w:t xml:space="preserve"> </w:t>
            </w:r>
          </w:p>
          <w:p w14:paraId="5BE36147"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K3.11 Public health issues in promoting health as part of prescribing practice.</w:t>
            </w:r>
          </w:p>
          <w:p w14:paraId="3D17D109" w14:textId="77777777" w:rsidR="00F9696C" w:rsidRPr="00F9696C" w:rsidRDefault="00F9696C" w:rsidP="004D667C">
            <w:pPr>
              <w:spacing w:before="120" w:after="120"/>
              <w:rPr>
                <w:rFonts w:ascii="Verdana" w:hAnsi="Verdana"/>
                <w:b/>
                <w:sz w:val="20"/>
                <w:szCs w:val="20"/>
              </w:rPr>
            </w:pPr>
            <w:r w:rsidRPr="00F9696C">
              <w:rPr>
                <w:rFonts w:ascii="Verdana" w:hAnsi="Verdana"/>
                <w:b/>
                <w:sz w:val="20"/>
                <w:szCs w:val="20"/>
              </w:rPr>
              <w:t>Domain 4: Collaboration:</w:t>
            </w:r>
          </w:p>
          <w:p w14:paraId="55BB23DB"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K4.1 Collaborative working to optimise individuals’ care and your role in the prescribing </w:t>
            </w:r>
            <w:proofErr w:type="gramStart"/>
            <w:r w:rsidRPr="00F9696C">
              <w:rPr>
                <w:rFonts w:ascii="Verdana" w:hAnsi="Verdana"/>
                <w:sz w:val="20"/>
                <w:szCs w:val="20"/>
              </w:rPr>
              <w:t>process;</w:t>
            </w:r>
            <w:proofErr w:type="gramEnd"/>
            <w:r w:rsidRPr="00F9696C">
              <w:rPr>
                <w:rFonts w:ascii="Verdana" w:hAnsi="Verdana"/>
                <w:sz w:val="20"/>
                <w:szCs w:val="20"/>
              </w:rPr>
              <w:t xml:space="preserve"> </w:t>
            </w:r>
          </w:p>
          <w:p w14:paraId="075B5D62"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K4.2 Your role and responsibilities for safeguarding children and vulnerable </w:t>
            </w:r>
            <w:proofErr w:type="gramStart"/>
            <w:r w:rsidRPr="00F9696C">
              <w:rPr>
                <w:rFonts w:ascii="Verdana" w:hAnsi="Verdana"/>
                <w:sz w:val="20"/>
                <w:szCs w:val="20"/>
              </w:rPr>
              <w:t>adults;</w:t>
            </w:r>
            <w:proofErr w:type="gramEnd"/>
          </w:p>
          <w:p w14:paraId="571A1D64"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K4.3 When and where to refer people </w:t>
            </w:r>
            <w:proofErr w:type="gramStart"/>
            <w:r w:rsidRPr="00F9696C">
              <w:rPr>
                <w:rFonts w:ascii="Verdana" w:hAnsi="Verdana"/>
                <w:sz w:val="20"/>
                <w:szCs w:val="20"/>
              </w:rPr>
              <w:t>appropriately;</w:t>
            </w:r>
            <w:proofErr w:type="gramEnd"/>
          </w:p>
          <w:p w14:paraId="1FE6664A"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K4.4 Collaboration with people that encourages them to take responsibility for managing </w:t>
            </w:r>
            <w:proofErr w:type="gramStart"/>
            <w:r w:rsidRPr="00F9696C">
              <w:rPr>
                <w:rFonts w:ascii="Verdana" w:hAnsi="Verdana"/>
                <w:sz w:val="20"/>
                <w:szCs w:val="20"/>
              </w:rPr>
              <w:t>care;</w:t>
            </w:r>
            <w:proofErr w:type="gramEnd"/>
          </w:p>
          <w:p w14:paraId="64EEDA01" w14:textId="77777777" w:rsidR="00F9696C" w:rsidRPr="00F9696C" w:rsidRDefault="00F9696C" w:rsidP="004D667C">
            <w:pPr>
              <w:spacing w:before="120" w:after="120"/>
              <w:rPr>
                <w:rFonts w:ascii="Verdana" w:hAnsi="Verdana"/>
                <w:sz w:val="20"/>
                <w:szCs w:val="20"/>
              </w:rPr>
            </w:pPr>
            <w:r w:rsidRPr="00F9696C">
              <w:rPr>
                <w:rFonts w:ascii="Verdana" w:hAnsi="Verdana"/>
                <w:sz w:val="20"/>
                <w:szCs w:val="20"/>
              </w:rPr>
              <w:t xml:space="preserve">K4.5 Consultation skills to get information from individuals who are either unaware of or guarded about their health needs, to inform safe </w:t>
            </w:r>
            <w:proofErr w:type="gramStart"/>
            <w:r w:rsidRPr="00F9696C">
              <w:rPr>
                <w:rFonts w:ascii="Verdana" w:hAnsi="Verdana"/>
                <w:sz w:val="20"/>
                <w:szCs w:val="20"/>
              </w:rPr>
              <w:t>prescribing;</w:t>
            </w:r>
            <w:proofErr w:type="gramEnd"/>
          </w:p>
          <w:p w14:paraId="1E5A6685" w14:textId="3A2E5040" w:rsidR="00F9696C" w:rsidRPr="00F9696C" w:rsidRDefault="00F9696C" w:rsidP="004D667C">
            <w:pPr>
              <w:spacing w:before="120" w:after="120"/>
              <w:rPr>
                <w:rFonts w:ascii="Verdana" w:hAnsi="Verdana"/>
                <w:sz w:val="20"/>
                <w:szCs w:val="20"/>
              </w:rPr>
            </w:pPr>
            <w:r w:rsidRPr="00F9696C">
              <w:rPr>
                <w:rFonts w:ascii="Verdana" w:hAnsi="Verdana"/>
                <w:sz w:val="20"/>
                <w:szCs w:val="20"/>
              </w:rPr>
              <w:t>K4.6 When to seek guidance from another member of the healthcare team or an appropriate authority.</w:t>
            </w:r>
          </w:p>
        </w:tc>
      </w:tr>
    </w:tbl>
    <w:p w14:paraId="1EE4C830" w14:textId="77777777" w:rsidR="00EC2A90" w:rsidRDefault="00EC2A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10456"/>
      </w:tblGrid>
      <w:tr w:rsidR="006B34D2" w14:paraId="14BA4B95" w14:textId="77777777" w:rsidTr="001C48AF">
        <w:tc>
          <w:tcPr>
            <w:tcW w:w="10456"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4770C29F" w14:textId="77777777" w:rsidR="006B34D2" w:rsidRDefault="006B34D2" w:rsidP="004D667C">
            <w:pPr>
              <w:spacing w:before="120" w:after="120"/>
              <w:rPr>
                <w:rFonts w:ascii="Verdana" w:hAnsi="Verdana"/>
              </w:rPr>
            </w:pPr>
            <w:r>
              <w:rPr>
                <w:rFonts w:ascii="Verdana" w:hAnsi="Verdana"/>
                <w:b/>
              </w:rPr>
              <w:lastRenderedPageBreak/>
              <w:t>Programme Outcomes – Skills and other Attributes (including Employability Skills)</w:t>
            </w:r>
          </w:p>
          <w:p w14:paraId="4C1F8B95" w14:textId="7A8939E3" w:rsidR="006B34D2" w:rsidRDefault="00C7285A" w:rsidP="004D667C">
            <w:pPr>
              <w:spacing w:before="120" w:after="120"/>
              <w:rPr>
                <w:rFonts w:ascii="Verdana" w:hAnsi="Verdana"/>
                <w:sz w:val="20"/>
              </w:rPr>
            </w:pPr>
            <w:r w:rsidRPr="00C7285A">
              <w:rPr>
                <w:rFonts w:ascii="Verdana" w:hAnsi="Verdana"/>
              </w:rPr>
              <w:t xml:space="preserve">The programme provides opportunities for you to develop and demonstrate the skills and competence identified by the </w:t>
            </w:r>
            <w:proofErr w:type="spellStart"/>
            <w:r w:rsidRPr="00C7285A">
              <w:rPr>
                <w:rFonts w:ascii="Verdana" w:hAnsi="Verdana"/>
              </w:rPr>
              <w:t>GPhC</w:t>
            </w:r>
            <w:proofErr w:type="spellEnd"/>
            <w:r w:rsidRPr="00C7285A">
              <w:rPr>
                <w:rFonts w:ascii="Verdana" w:hAnsi="Verdana"/>
              </w:rPr>
              <w:t xml:space="preserve"> (2019) for pharmacist independent prescribers at the point of annotation:</w:t>
            </w:r>
          </w:p>
        </w:tc>
      </w:tr>
      <w:tr w:rsidR="006B34D2" w14:paraId="3651D893" w14:textId="77777777" w:rsidTr="001C48AF">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53988E" w14:textId="77777777" w:rsidR="007A20D0" w:rsidRPr="007A20D0" w:rsidRDefault="007A20D0" w:rsidP="004D667C">
            <w:pPr>
              <w:spacing w:before="120" w:after="120"/>
              <w:rPr>
                <w:rFonts w:ascii="Verdana" w:hAnsi="Verdana"/>
                <w:b/>
                <w:sz w:val="20"/>
                <w:szCs w:val="20"/>
              </w:rPr>
            </w:pPr>
            <w:r w:rsidRPr="007A20D0">
              <w:rPr>
                <w:rFonts w:ascii="Verdana" w:hAnsi="Verdana"/>
                <w:b/>
                <w:sz w:val="20"/>
                <w:szCs w:val="20"/>
              </w:rPr>
              <w:t>Domain 1: Person-centred care:</w:t>
            </w:r>
          </w:p>
          <w:p w14:paraId="66102B6B"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S1.1 Application of knowledge that recognises the psychological and physical impact of prescribing decisions on </w:t>
            </w:r>
            <w:proofErr w:type="gramStart"/>
            <w:r w:rsidRPr="007A20D0">
              <w:rPr>
                <w:rFonts w:ascii="Verdana" w:hAnsi="Verdana"/>
                <w:sz w:val="20"/>
                <w:szCs w:val="20"/>
              </w:rPr>
              <w:t>people;</w:t>
            </w:r>
            <w:proofErr w:type="gramEnd"/>
            <w:r w:rsidRPr="007A20D0">
              <w:rPr>
                <w:rFonts w:ascii="Verdana" w:hAnsi="Verdana"/>
                <w:sz w:val="20"/>
                <w:szCs w:val="20"/>
              </w:rPr>
              <w:t xml:space="preserve"> </w:t>
            </w:r>
          </w:p>
          <w:p w14:paraId="155E8BAE"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S1.2 Understanding and meeting your legal responsibilities under equality and human rights legislation and respect diversity and cultural </w:t>
            </w:r>
            <w:proofErr w:type="gramStart"/>
            <w:r w:rsidRPr="007A20D0">
              <w:rPr>
                <w:rFonts w:ascii="Verdana" w:hAnsi="Verdana"/>
                <w:sz w:val="20"/>
                <w:szCs w:val="20"/>
              </w:rPr>
              <w:t>differences;</w:t>
            </w:r>
            <w:proofErr w:type="gramEnd"/>
            <w:r w:rsidRPr="007A20D0">
              <w:rPr>
                <w:rFonts w:ascii="Verdana" w:hAnsi="Verdana"/>
                <w:sz w:val="20"/>
                <w:szCs w:val="20"/>
              </w:rPr>
              <w:t xml:space="preserve"> </w:t>
            </w:r>
          </w:p>
          <w:p w14:paraId="67214396"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S1.3 Taking responsibility for ensuring that person-centred care is not compromised because of personal values and </w:t>
            </w:r>
            <w:proofErr w:type="gramStart"/>
            <w:r w:rsidRPr="007A20D0">
              <w:rPr>
                <w:rFonts w:ascii="Verdana" w:hAnsi="Verdana"/>
                <w:sz w:val="20"/>
                <w:szCs w:val="20"/>
              </w:rPr>
              <w:t>beliefs;</w:t>
            </w:r>
            <w:proofErr w:type="gramEnd"/>
          </w:p>
          <w:p w14:paraId="022AC63C"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S1.4 Appropriate history-taking techniques through effective consultation </w:t>
            </w:r>
            <w:proofErr w:type="gramStart"/>
            <w:r w:rsidRPr="007A20D0">
              <w:rPr>
                <w:rFonts w:ascii="Verdana" w:hAnsi="Verdana"/>
                <w:sz w:val="20"/>
                <w:szCs w:val="20"/>
              </w:rPr>
              <w:t>skills;</w:t>
            </w:r>
            <w:proofErr w:type="gramEnd"/>
            <w:r w:rsidRPr="007A20D0">
              <w:rPr>
                <w:rFonts w:ascii="Verdana" w:hAnsi="Verdana"/>
                <w:sz w:val="20"/>
                <w:szCs w:val="20"/>
              </w:rPr>
              <w:t xml:space="preserve"> </w:t>
            </w:r>
          </w:p>
          <w:p w14:paraId="3E039F20"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S1.5 The role of the prescriber in working in partnership with people who may not be able to make fully informed decisions about their health </w:t>
            </w:r>
            <w:proofErr w:type="gramStart"/>
            <w:r w:rsidRPr="007A20D0">
              <w:rPr>
                <w:rFonts w:ascii="Verdana" w:hAnsi="Verdana"/>
                <w:sz w:val="20"/>
                <w:szCs w:val="20"/>
              </w:rPr>
              <w:t>needs;</w:t>
            </w:r>
            <w:proofErr w:type="gramEnd"/>
          </w:p>
          <w:p w14:paraId="2BFC525D"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S1.6 Support for individuals to make informed choices that respect people’s preferences.</w:t>
            </w:r>
          </w:p>
          <w:p w14:paraId="09F08C0F" w14:textId="77777777" w:rsidR="007A20D0" w:rsidRPr="007A20D0" w:rsidRDefault="007A20D0" w:rsidP="004D667C">
            <w:pPr>
              <w:spacing w:before="120" w:after="120"/>
              <w:rPr>
                <w:rFonts w:ascii="Verdana" w:hAnsi="Verdana"/>
                <w:b/>
                <w:sz w:val="20"/>
                <w:szCs w:val="20"/>
              </w:rPr>
            </w:pPr>
            <w:r w:rsidRPr="007A20D0">
              <w:rPr>
                <w:rFonts w:ascii="Verdana" w:hAnsi="Verdana"/>
                <w:b/>
                <w:sz w:val="20"/>
                <w:szCs w:val="20"/>
              </w:rPr>
              <w:t>Domain 2: Professionalism:</w:t>
            </w:r>
          </w:p>
          <w:p w14:paraId="6C39DFDB"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S2.1 A critical understanding of your own role and the role of others in multi-professional </w:t>
            </w:r>
            <w:proofErr w:type="gramStart"/>
            <w:r w:rsidRPr="007A20D0">
              <w:rPr>
                <w:rFonts w:ascii="Verdana" w:hAnsi="Verdana"/>
                <w:sz w:val="20"/>
                <w:szCs w:val="20"/>
              </w:rPr>
              <w:t>teams;</w:t>
            </w:r>
            <w:proofErr w:type="gramEnd"/>
            <w:r w:rsidRPr="007A20D0">
              <w:rPr>
                <w:rFonts w:ascii="Verdana" w:hAnsi="Verdana"/>
                <w:sz w:val="20"/>
                <w:szCs w:val="20"/>
              </w:rPr>
              <w:t xml:space="preserve"> </w:t>
            </w:r>
          </w:p>
          <w:p w14:paraId="034DCE8C"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S2.2 Recognition of your own role as a responsible and accountable prescriber who understands legal and ethical </w:t>
            </w:r>
            <w:proofErr w:type="gramStart"/>
            <w:r w:rsidRPr="007A20D0">
              <w:rPr>
                <w:rFonts w:ascii="Verdana" w:hAnsi="Verdana"/>
                <w:sz w:val="20"/>
                <w:szCs w:val="20"/>
              </w:rPr>
              <w:t>implications;</w:t>
            </w:r>
            <w:proofErr w:type="gramEnd"/>
          </w:p>
          <w:p w14:paraId="5AF9793F" w14:textId="77777777" w:rsidR="007A20D0" w:rsidRPr="007A20D0" w:rsidRDefault="007A20D0" w:rsidP="004D667C">
            <w:pPr>
              <w:spacing w:before="120" w:after="120"/>
              <w:rPr>
                <w:rFonts w:ascii="Verdana" w:hAnsi="Verdana"/>
                <w:b/>
                <w:sz w:val="20"/>
                <w:szCs w:val="20"/>
              </w:rPr>
            </w:pPr>
            <w:r w:rsidRPr="007A20D0">
              <w:rPr>
                <w:rFonts w:ascii="Verdana" w:hAnsi="Verdana"/>
                <w:sz w:val="20"/>
                <w:szCs w:val="20"/>
              </w:rPr>
              <w:t>S2.3</w:t>
            </w:r>
            <w:r w:rsidRPr="007A20D0">
              <w:rPr>
                <w:rFonts w:ascii="Verdana" w:hAnsi="Verdana"/>
                <w:b/>
                <w:sz w:val="20"/>
                <w:szCs w:val="20"/>
              </w:rPr>
              <w:t xml:space="preserve"> </w:t>
            </w:r>
            <w:r w:rsidRPr="007A20D0">
              <w:rPr>
                <w:rFonts w:ascii="Verdana" w:hAnsi="Verdana"/>
                <w:sz w:val="20"/>
                <w:szCs w:val="20"/>
              </w:rPr>
              <w:t xml:space="preserve">Application of knowledge of relevant legislation and ethical frameworks related to prescribing, including remote prescribing and the handling and sharing of confidential </w:t>
            </w:r>
            <w:proofErr w:type="gramStart"/>
            <w:r w:rsidRPr="007A20D0">
              <w:rPr>
                <w:rFonts w:ascii="Verdana" w:hAnsi="Verdana"/>
                <w:sz w:val="20"/>
                <w:szCs w:val="20"/>
              </w:rPr>
              <w:t>information;</w:t>
            </w:r>
            <w:proofErr w:type="gramEnd"/>
            <w:r w:rsidRPr="007A20D0">
              <w:rPr>
                <w:rFonts w:ascii="Verdana" w:hAnsi="Verdana"/>
                <w:b/>
                <w:sz w:val="20"/>
                <w:szCs w:val="20"/>
              </w:rPr>
              <w:t xml:space="preserve"> </w:t>
            </w:r>
          </w:p>
          <w:p w14:paraId="2FAD3C0F"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S2.4 Recognition and management of factors that may influence prescribing </w:t>
            </w:r>
            <w:proofErr w:type="gramStart"/>
            <w:r w:rsidRPr="007A20D0">
              <w:rPr>
                <w:rFonts w:ascii="Verdana" w:hAnsi="Verdana"/>
                <w:sz w:val="20"/>
                <w:szCs w:val="20"/>
              </w:rPr>
              <w:t>decisions;</w:t>
            </w:r>
            <w:proofErr w:type="gramEnd"/>
            <w:r w:rsidRPr="007A20D0">
              <w:rPr>
                <w:rFonts w:ascii="Verdana" w:hAnsi="Verdana"/>
                <w:sz w:val="20"/>
                <w:szCs w:val="20"/>
              </w:rPr>
              <w:t xml:space="preserve"> </w:t>
            </w:r>
          </w:p>
          <w:p w14:paraId="23E5D196"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S2.5 Application of local, regional and national guidelines, policies and legislation related to </w:t>
            </w:r>
            <w:proofErr w:type="gramStart"/>
            <w:r w:rsidRPr="007A20D0">
              <w:rPr>
                <w:rFonts w:ascii="Verdana" w:hAnsi="Verdana"/>
                <w:sz w:val="20"/>
                <w:szCs w:val="20"/>
              </w:rPr>
              <w:t>healthcare;</w:t>
            </w:r>
            <w:proofErr w:type="gramEnd"/>
            <w:r w:rsidRPr="007A20D0">
              <w:rPr>
                <w:rFonts w:ascii="Verdana" w:hAnsi="Verdana"/>
                <w:sz w:val="20"/>
                <w:szCs w:val="20"/>
              </w:rPr>
              <w:t xml:space="preserve"> </w:t>
            </w:r>
          </w:p>
          <w:p w14:paraId="42A61B91"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S2.6 Reflection on and development of your own prescribing practice to ensure it represents current best </w:t>
            </w:r>
            <w:proofErr w:type="gramStart"/>
            <w:r w:rsidRPr="007A20D0">
              <w:rPr>
                <w:rFonts w:ascii="Verdana" w:hAnsi="Verdana"/>
                <w:sz w:val="20"/>
                <w:szCs w:val="20"/>
              </w:rPr>
              <w:t>practice;</w:t>
            </w:r>
            <w:proofErr w:type="gramEnd"/>
            <w:r w:rsidRPr="007A20D0">
              <w:rPr>
                <w:rFonts w:ascii="Verdana" w:hAnsi="Verdana"/>
                <w:sz w:val="20"/>
                <w:szCs w:val="20"/>
              </w:rPr>
              <w:t xml:space="preserve"> </w:t>
            </w:r>
          </w:p>
          <w:p w14:paraId="797C6CBA"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S2.7 Application of knowledge and understanding of health economics when making prescribing </w:t>
            </w:r>
            <w:proofErr w:type="gramStart"/>
            <w:r w:rsidRPr="007A20D0">
              <w:rPr>
                <w:rFonts w:ascii="Verdana" w:hAnsi="Verdana"/>
                <w:sz w:val="20"/>
                <w:szCs w:val="20"/>
              </w:rPr>
              <w:t>decisions;</w:t>
            </w:r>
            <w:proofErr w:type="gramEnd"/>
            <w:r w:rsidRPr="007A20D0">
              <w:rPr>
                <w:rFonts w:ascii="Verdana" w:hAnsi="Verdana"/>
                <w:sz w:val="20"/>
                <w:szCs w:val="20"/>
              </w:rPr>
              <w:t xml:space="preserve"> </w:t>
            </w:r>
          </w:p>
          <w:p w14:paraId="356420B8"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S2.8 Understanding of the clinical governance of the prescriber, who may also be in a position to supply medicines to </w:t>
            </w:r>
            <w:proofErr w:type="gramStart"/>
            <w:r w:rsidRPr="007A20D0">
              <w:rPr>
                <w:rFonts w:ascii="Verdana" w:hAnsi="Verdana"/>
                <w:sz w:val="20"/>
                <w:szCs w:val="20"/>
              </w:rPr>
              <w:t>people;</w:t>
            </w:r>
            <w:proofErr w:type="gramEnd"/>
            <w:r w:rsidRPr="007A20D0">
              <w:rPr>
                <w:rFonts w:ascii="Verdana" w:hAnsi="Verdana"/>
                <w:sz w:val="20"/>
                <w:szCs w:val="20"/>
              </w:rPr>
              <w:t xml:space="preserve"> </w:t>
            </w:r>
          </w:p>
          <w:p w14:paraId="5D480424"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S2.9 Application of knowledge to recognise other professionals’ practice and competence to raise concerns related to inappropriate or unsafe prescribing by other prescribers.</w:t>
            </w:r>
          </w:p>
          <w:p w14:paraId="2ED3B5FE" w14:textId="77777777" w:rsidR="007A20D0" w:rsidRPr="007A20D0" w:rsidRDefault="007A20D0" w:rsidP="004D667C">
            <w:pPr>
              <w:spacing w:before="120" w:after="120"/>
              <w:rPr>
                <w:rFonts w:ascii="Verdana" w:hAnsi="Verdana"/>
                <w:b/>
                <w:sz w:val="20"/>
                <w:szCs w:val="20"/>
              </w:rPr>
            </w:pPr>
            <w:r w:rsidRPr="007A20D0">
              <w:rPr>
                <w:rFonts w:ascii="Verdana" w:hAnsi="Verdana"/>
                <w:b/>
                <w:sz w:val="20"/>
                <w:szCs w:val="20"/>
              </w:rPr>
              <w:t>Domain 3: Professional knowledge and skills:</w:t>
            </w:r>
          </w:p>
          <w:p w14:paraId="0AF98DBE"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S3.1 Application of evidence-based decision-making in all aspects of </w:t>
            </w:r>
            <w:proofErr w:type="gramStart"/>
            <w:r w:rsidRPr="007A20D0">
              <w:rPr>
                <w:rFonts w:ascii="Verdana" w:hAnsi="Verdana"/>
                <w:sz w:val="20"/>
                <w:szCs w:val="20"/>
              </w:rPr>
              <w:t>prescribing;</w:t>
            </w:r>
            <w:proofErr w:type="gramEnd"/>
            <w:r w:rsidRPr="007A20D0">
              <w:rPr>
                <w:rFonts w:ascii="Verdana" w:hAnsi="Verdana"/>
                <w:sz w:val="20"/>
                <w:szCs w:val="20"/>
              </w:rPr>
              <w:t xml:space="preserve"> </w:t>
            </w:r>
          </w:p>
          <w:p w14:paraId="22BF7BE8"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S3.2 Management of the risks and benefits associated with prescribing </w:t>
            </w:r>
            <w:proofErr w:type="gramStart"/>
            <w:r w:rsidRPr="007A20D0">
              <w:rPr>
                <w:rFonts w:ascii="Verdana" w:hAnsi="Verdana"/>
                <w:sz w:val="20"/>
                <w:szCs w:val="20"/>
              </w:rPr>
              <w:t>decisions;</w:t>
            </w:r>
            <w:proofErr w:type="gramEnd"/>
          </w:p>
          <w:p w14:paraId="27012A81"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S3.3 The application of pharmacology in relation to your own prescribing </w:t>
            </w:r>
            <w:proofErr w:type="gramStart"/>
            <w:r w:rsidRPr="007A20D0">
              <w:rPr>
                <w:rFonts w:ascii="Verdana" w:hAnsi="Verdana"/>
                <w:sz w:val="20"/>
                <w:szCs w:val="20"/>
              </w:rPr>
              <w:t>practice;</w:t>
            </w:r>
            <w:proofErr w:type="gramEnd"/>
            <w:r w:rsidRPr="007A20D0">
              <w:rPr>
                <w:rFonts w:ascii="Verdana" w:hAnsi="Verdana"/>
                <w:sz w:val="20"/>
                <w:szCs w:val="20"/>
              </w:rPr>
              <w:t xml:space="preserve"> </w:t>
            </w:r>
          </w:p>
          <w:p w14:paraId="72C86BAE"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S3.4 Clinical and diagnostic skills in clinical settings appropriate to your scope of </w:t>
            </w:r>
            <w:proofErr w:type="gramStart"/>
            <w:r w:rsidRPr="007A20D0">
              <w:rPr>
                <w:rFonts w:ascii="Verdana" w:hAnsi="Verdana"/>
                <w:sz w:val="20"/>
                <w:szCs w:val="20"/>
              </w:rPr>
              <w:t>practice;</w:t>
            </w:r>
            <w:proofErr w:type="gramEnd"/>
            <w:r w:rsidRPr="007A20D0">
              <w:rPr>
                <w:rFonts w:ascii="Verdana" w:hAnsi="Verdana"/>
                <w:sz w:val="20"/>
                <w:szCs w:val="20"/>
              </w:rPr>
              <w:t xml:space="preserve"> </w:t>
            </w:r>
          </w:p>
          <w:p w14:paraId="0DD7E3BB"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lastRenderedPageBreak/>
              <w:t xml:space="preserve">S3.5 Creation and maintenance of appropriate records which ensure safe and effective care and align with relevant </w:t>
            </w:r>
            <w:proofErr w:type="gramStart"/>
            <w:r w:rsidRPr="007A20D0">
              <w:rPr>
                <w:rFonts w:ascii="Verdana" w:hAnsi="Verdana"/>
                <w:sz w:val="20"/>
                <w:szCs w:val="20"/>
              </w:rPr>
              <w:t>legislation;</w:t>
            </w:r>
            <w:proofErr w:type="gramEnd"/>
            <w:r w:rsidRPr="007A20D0">
              <w:rPr>
                <w:rFonts w:ascii="Verdana" w:hAnsi="Verdana"/>
                <w:sz w:val="20"/>
                <w:szCs w:val="20"/>
              </w:rPr>
              <w:t xml:space="preserve"> </w:t>
            </w:r>
          </w:p>
          <w:p w14:paraId="2E48379B"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S3.6 Identification of relevant investigations and interpret results and data in your prescribing </w:t>
            </w:r>
            <w:proofErr w:type="gramStart"/>
            <w:r w:rsidRPr="007A20D0">
              <w:rPr>
                <w:rFonts w:ascii="Verdana" w:hAnsi="Verdana"/>
                <w:sz w:val="20"/>
                <w:szCs w:val="20"/>
              </w:rPr>
              <w:t>practice;</w:t>
            </w:r>
            <w:proofErr w:type="gramEnd"/>
            <w:r w:rsidRPr="007A20D0">
              <w:rPr>
                <w:rFonts w:ascii="Verdana" w:hAnsi="Verdana"/>
                <w:sz w:val="20"/>
                <w:szCs w:val="20"/>
              </w:rPr>
              <w:t xml:space="preserve"> </w:t>
            </w:r>
          </w:p>
          <w:p w14:paraId="2389F167"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S3.7 Use of current and emerging systems and technologies in safe </w:t>
            </w:r>
            <w:proofErr w:type="gramStart"/>
            <w:r w:rsidRPr="007A20D0">
              <w:rPr>
                <w:rFonts w:ascii="Verdana" w:hAnsi="Verdana"/>
                <w:sz w:val="20"/>
                <w:szCs w:val="20"/>
              </w:rPr>
              <w:t>prescribing;</w:t>
            </w:r>
            <w:proofErr w:type="gramEnd"/>
          </w:p>
          <w:p w14:paraId="7DFEC9D1"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S3.8 Competence to identify and respond to people’s need when prescribing </w:t>
            </w:r>
            <w:proofErr w:type="gramStart"/>
            <w:r w:rsidRPr="007A20D0">
              <w:rPr>
                <w:rFonts w:ascii="Verdana" w:hAnsi="Verdana"/>
                <w:sz w:val="20"/>
                <w:szCs w:val="20"/>
              </w:rPr>
              <w:t>remotely;</w:t>
            </w:r>
            <w:proofErr w:type="gramEnd"/>
            <w:r w:rsidRPr="007A20D0">
              <w:rPr>
                <w:rFonts w:ascii="Verdana" w:hAnsi="Verdana"/>
                <w:sz w:val="20"/>
                <w:szCs w:val="20"/>
              </w:rPr>
              <w:t xml:space="preserve"> </w:t>
            </w:r>
          </w:p>
          <w:p w14:paraId="3291491E"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S3.9 Application of the principles of effective monitoring and management to improve patient </w:t>
            </w:r>
            <w:proofErr w:type="gramStart"/>
            <w:r w:rsidRPr="007A20D0">
              <w:rPr>
                <w:rFonts w:ascii="Verdana" w:hAnsi="Verdana"/>
                <w:sz w:val="20"/>
                <w:szCs w:val="20"/>
              </w:rPr>
              <w:t>outcomes;</w:t>
            </w:r>
            <w:proofErr w:type="gramEnd"/>
            <w:r w:rsidRPr="007A20D0">
              <w:rPr>
                <w:rFonts w:ascii="Verdana" w:hAnsi="Verdana"/>
                <w:sz w:val="20"/>
                <w:szCs w:val="20"/>
              </w:rPr>
              <w:t xml:space="preserve"> </w:t>
            </w:r>
          </w:p>
          <w:p w14:paraId="0AAED6D9"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S3.10 Competence to recognise and manage prescribing and medication </w:t>
            </w:r>
            <w:proofErr w:type="gramStart"/>
            <w:r w:rsidRPr="007A20D0">
              <w:rPr>
                <w:rFonts w:ascii="Verdana" w:hAnsi="Verdana"/>
                <w:sz w:val="20"/>
                <w:szCs w:val="20"/>
              </w:rPr>
              <w:t>errors;</w:t>
            </w:r>
            <w:proofErr w:type="gramEnd"/>
            <w:r w:rsidRPr="007A20D0">
              <w:rPr>
                <w:rFonts w:ascii="Verdana" w:hAnsi="Verdana"/>
                <w:sz w:val="20"/>
                <w:szCs w:val="20"/>
              </w:rPr>
              <w:t xml:space="preserve"> </w:t>
            </w:r>
          </w:p>
          <w:p w14:paraId="7074F93A"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S3.11 Recognition of the public health issues in promoting health as part of your prescribing practice.</w:t>
            </w:r>
          </w:p>
          <w:p w14:paraId="528A2154" w14:textId="77777777" w:rsidR="007A20D0" w:rsidRPr="007A20D0" w:rsidRDefault="007A20D0" w:rsidP="004D667C">
            <w:pPr>
              <w:spacing w:before="120" w:after="120"/>
              <w:rPr>
                <w:rFonts w:ascii="Verdana" w:hAnsi="Verdana"/>
                <w:b/>
                <w:sz w:val="20"/>
                <w:szCs w:val="20"/>
              </w:rPr>
            </w:pPr>
            <w:r w:rsidRPr="007A20D0">
              <w:rPr>
                <w:rFonts w:ascii="Verdana" w:hAnsi="Verdana"/>
                <w:b/>
                <w:sz w:val="20"/>
                <w:szCs w:val="20"/>
              </w:rPr>
              <w:t>Domain 4: Collaboration:</w:t>
            </w:r>
          </w:p>
          <w:p w14:paraId="182D65B7"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S4.1 Working collaboratively with others to optimise individuals’ care, understanding your roles in the prescribing </w:t>
            </w:r>
            <w:proofErr w:type="gramStart"/>
            <w:r w:rsidRPr="007A20D0">
              <w:rPr>
                <w:rFonts w:ascii="Verdana" w:hAnsi="Verdana"/>
                <w:sz w:val="20"/>
                <w:szCs w:val="20"/>
              </w:rPr>
              <w:t>process;</w:t>
            </w:r>
            <w:proofErr w:type="gramEnd"/>
          </w:p>
          <w:p w14:paraId="20A3DAED"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S4.2 Applies knowledge to recognise your own role and responsibilities, and those of others, in safeguarding children and vulnerable </w:t>
            </w:r>
            <w:proofErr w:type="gramStart"/>
            <w:r w:rsidRPr="007A20D0">
              <w:rPr>
                <w:rFonts w:ascii="Verdana" w:hAnsi="Verdana"/>
                <w:sz w:val="20"/>
                <w:szCs w:val="20"/>
              </w:rPr>
              <w:t>adults;</w:t>
            </w:r>
            <w:proofErr w:type="gramEnd"/>
          </w:p>
          <w:p w14:paraId="4912677A"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S4.3 Recognition of when and where to refer people </w:t>
            </w:r>
            <w:proofErr w:type="gramStart"/>
            <w:r w:rsidRPr="007A20D0">
              <w:rPr>
                <w:rFonts w:ascii="Verdana" w:hAnsi="Verdana"/>
                <w:sz w:val="20"/>
                <w:szCs w:val="20"/>
              </w:rPr>
              <w:t>appropriately;</w:t>
            </w:r>
            <w:proofErr w:type="gramEnd"/>
          </w:p>
          <w:p w14:paraId="621881B2"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S4.4 Collaboration with people to encourage them to take responsibility for managing </w:t>
            </w:r>
            <w:proofErr w:type="gramStart"/>
            <w:r w:rsidRPr="007A20D0">
              <w:rPr>
                <w:rFonts w:ascii="Verdana" w:hAnsi="Verdana"/>
                <w:sz w:val="20"/>
                <w:szCs w:val="20"/>
              </w:rPr>
              <w:t>care;</w:t>
            </w:r>
            <w:proofErr w:type="gramEnd"/>
          </w:p>
          <w:p w14:paraId="6134635A"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S4.5 Appropriate consultation skills to get information from individuals who are either unaware of or guarded about their health needs, to inform safe </w:t>
            </w:r>
            <w:proofErr w:type="gramStart"/>
            <w:r w:rsidRPr="007A20D0">
              <w:rPr>
                <w:rFonts w:ascii="Verdana" w:hAnsi="Verdana"/>
                <w:sz w:val="20"/>
                <w:szCs w:val="20"/>
              </w:rPr>
              <w:t>prescribing;</w:t>
            </w:r>
            <w:proofErr w:type="gramEnd"/>
          </w:p>
          <w:p w14:paraId="1F966867" w14:textId="3E290BD2" w:rsidR="006B34D2" w:rsidRPr="007A20D0" w:rsidRDefault="007A20D0" w:rsidP="004D667C">
            <w:pPr>
              <w:spacing w:before="120" w:after="120"/>
              <w:rPr>
                <w:rFonts w:ascii="Verdana" w:hAnsi="Verdana"/>
                <w:color w:val="C00000"/>
                <w:sz w:val="20"/>
                <w:szCs w:val="20"/>
              </w:rPr>
            </w:pPr>
            <w:r w:rsidRPr="007A20D0">
              <w:rPr>
                <w:rFonts w:ascii="Verdana" w:hAnsi="Verdana"/>
                <w:sz w:val="20"/>
                <w:szCs w:val="20"/>
              </w:rPr>
              <w:t>S4.6 Recognition of when to seek guidance from another member of the healthcare team or an appropriate authority.</w:t>
            </w:r>
          </w:p>
        </w:tc>
      </w:tr>
    </w:tbl>
    <w:p w14:paraId="3DEEC669" w14:textId="77777777" w:rsidR="006B34D2" w:rsidRDefault="006B34D2" w:rsidP="004D667C">
      <w:pPr>
        <w:spacing w:before="120" w:after="12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10456"/>
      </w:tblGrid>
      <w:tr w:rsidR="006B34D2" w14:paraId="220A5A59" w14:textId="77777777" w:rsidTr="0FE78FCB">
        <w:tc>
          <w:tcPr>
            <w:tcW w:w="10682"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081B8693" w14:textId="77777777" w:rsidR="006B34D2" w:rsidRDefault="006B34D2" w:rsidP="004D667C">
            <w:pPr>
              <w:spacing w:before="120" w:after="120"/>
              <w:rPr>
                <w:rFonts w:ascii="Verdana" w:hAnsi="Verdana"/>
                <w:b/>
              </w:rPr>
            </w:pPr>
            <w:r>
              <w:rPr>
                <w:rFonts w:ascii="Verdana" w:hAnsi="Verdana"/>
                <w:b/>
              </w:rPr>
              <w:t xml:space="preserve">External and Internal Reference Points </w:t>
            </w:r>
          </w:p>
          <w:p w14:paraId="68B4DDAE" w14:textId="77777777" w:rsidR="006B34D2" w:rsidRDefault="006B34D2" w:rsidP="004D667C">
            <w:pPr>
              <w:spacing w:before="120" w:after="120"/>
              <w:rPr>
                <w:rFonts w:ascii="Verdana" w:hAnsi="Verdana"/>
                <w:sz w:val="20"/>
              </w:rPr>
            </w:pPr>
            <w:r>
              <w:rPr>
                <w:rFonts w:ascii="Verdana" w:hAnsi="Verdana"/>
              </w:rPr>
              <w:t>The following Subject Benchmark Statements and other external and internal reference points have been used to inform the Programme Outcomes:</w:t>
            </w:r>
          </w:p>
        </w:tc>
      </w:tr>
      <w:tr w:rsidR="006B34D2" w14:paraId="7E11A59B" w14:textId="77777777" w:rsidTr="0FE78FCB">
        <w:tc>
          <w:tcPr>
            <w:tcW w:w="10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22394F" w14:textId="77777777" w:rsidR="007A20D0" w:rsidRPr="007A20D0" w:rsidRDefault="007A20D0" w:rsidP="004D667C">
            <w:pPr>
              <w:spacing w:before="120" w:after="120"/>
              <w:rPr>
                <w:rFonts w:ascii="Verdana" w:hAnsi="Verdana"/>
                <w:sz w:val="20"/>
              </w:rPr>
            </w:pPr>
            <w:r w:rsidRPr="007A20D0">
              <w:rPr>
                <w:rFonts w:ascii="Verdana" w:hAnsi="Verdana"/>
                <w:sz w:val="20"/>
              </w:rPr>
              <w:t xml:space="preserve">The </w:t>
            </w:r>
            <w:proofErr w:type="spellStart"/>
            <w:r w:rsidRPr="007A20D0">
              <w:rPr>
                <w:rFonts w:ascii="Verdana" w:hAnsi="Verdana"/>
                <w:sz w:val="20"/>
              </w:rPr>
              <w:t>GPhC</w:t>
            </w:r>
            <w:proofErr w:type="spellEnd"/>
            <w:r w:rsidRPr="007A20D0">
              <w:rPr>
                <w:rFonts w:ascii="Verdana" w:hAnsi="Verdana"/>
                <w:sz w:val="20"/>
              </w:rPr>
              <w:t xml:space="preserve"> accredits prescribing programmes leading to eligibility to apply for annotation as a pharmacist independent prescriber. Therefore, the programme must enable pharmacist independent prescribers in training to demonstrate the knowledge, skills and competence identified by the </w:t>
            </w:r>
            <w:proofErr w:type="spellStart"/>
            <w:r w:rsidRPr="007A20D0">
              <w:rPr>
                <w:rFonts w:ascii="Verdana" w:hAnsi="Verdana"/>
                <w:sz w:val="20"/>
              </w:rPr>
              <w:t>GPhC</w:t>
            </w:r>
            <w:proofErr w:type="spellEnd"/>
            <w:r w:rsidRPr="007A20D0">
              <w:rPr>
                <w:rFonts w:ascii="Verdana" w:hAnsi="Verdana"/>
                <w:sz w:val="20"/>
              </w:rPr>
              <w:t xml:space="preserve"> for pharmacist independent prescribers at the point of annotation:</w:t>
            </w:r>
          </w:p>
          <w:p w14:paraId="363E65DA" w14:textId="7092980C" w:rsidR="007A20D0" w:rsidRPr="007A20D0" w:rsidRDefault="33E60E7C" w:rsidP="004D667C">
            <w:pPr>
              <w:pStyle w:val="ListParagraph"/>
              <w:numPr>
                <w:ilvl w:val="0"/>
                <w:numId w:val="27"/>
              </w:numPr>
              <w:spacing w:before="120" w:after="120"/>
              <w:ind w:left="459"/>
              <w:rPr>
                <w:rFonts w:ascii="Verdana" w:eastAsia="Times New Roman" w:hAnsi="Verdana"/>
                <w:sz w:val="20"/>
                <w:szCs w:val="20"/>
                <w:lang w:eastAsia="en-GB"/>
              </w:rPr>
            </w:pPr>
            <w:r w:rsidRPr="0C639946">
              <w:rPr>
                <w:rFonts w:ascii="Verdana" w:eastAsia="Times New Roman" w:hAnsi="Verdana"/>
                <w:sz w:val="20"/>
                <w:szCs w:val="20"/>
                <w:lang w:eastAsia="en-GB"/>
              </w:rPr>
              <w:t xml:space="preserve">General Pharmaceutical Council (2019) </w:t>
            </w:r>
            <w:hyperlink r:id="rId19">
              <w:r w:rsidRPr="0C639946">
                <w:rPr>
                  <w:rStyle w:val="Hyperlink"/>
                  <w:rFonts w:ascii="Verdana" w:eastAsia="Times New Roman" w:hAnsi="Verdana"/>
                  <w:sz w:val="20"/>
                  <w:szCs w:val="20"/>
                  <w:lang w:eastAsia="en-GB"/>
                </w:rPr>
                <w:t>Standards for the education and training of pharmacist independent prescribers</w:t>
              </w:r>
            </w:hyperlink>
            <w:r w:rsidRPr="0C639946">
              <w:rPr>
                <w:rFonts w:ascii="Verdana" w:eastAsia="Times New Roman" w:hAnsi="Verdana"/>
                <w:sz w:val="20"/>
                <w:szCs w:val="20"/>
                <w:lang w:eastAsia="en-GB"/>
              </w:rPr>
              <w:t xml:space="preserve"> </w:t>
            </w:r>
          </w:p>
          <w:p w14:paraId="32637341" w14:textId="207CF5C3" w:rsidR="006B34D2" w:rsidRPr="007A20D0" w:rsidRDefault="006B34D2" w:rsidP="004D667C">
            <w:pPr>
              <w:spacing w:before="120" w:after="120"/>
              <w:rPr>
                <w:rFonts w:ascii="Verdana" w:hAnsi="Verdana"/>
                <w:sz w:val="20"/>
              </w:rPr>
            </w:pPr>
            <w:r w:rsidRPr="007A20D0">
              <w:rPr>
                <w:rFonts w:ascii="Verdana" w:hAnsi="Verdana"/>
                <w:sz w:val="20"/>
              </w:rPr>
              <w:t>Other external reference points may include:</w:t>
            </w:r>
          </w:p>
          <w:p w14:paraId="65FAEFD3" w14:textId="66379E63" w:rsidR="007A20D0" w:rsidRPr="007A20D0" w:rsidRDefault="007A20D0" w:rsidP="004D667C">
            <w:pPr>
              <w:numPr>
                <w:ilvl w:val="0"/>
                <w:numId w:val="11"/>
              </w:numPr>
              <w:spacing w:before="120" w:after="120"/>
              <w:rPr>
                <w:rFonts w:ascii="Verdana" w:hAnsi="Verdana"/>
                <w:color w:val="C00000"/>
                <w:sz w:val="20"/>
              </w:rPr>
            </w:pPr>
            <w:r w:rsidRPr="007A20D0">
              <w:rPr>
                <w:rFonts w:ascii="Verdana" w:hAnsi="Verdana"/>
                <w:sz w:val="20"/>
              </w:rPr>
              <w:t xml:space="preserve">General Pharmaceutical Council (2017) </w:t>
            </w:r>
            <w:hyperlink r:id="rId20" w:history="1">
              <w:r w:rsidRPr="007A20D0">
                <w:rPr>
                  <w:rStyle w:val="Hyperlink"/>
                  <w:rFonts w:ascii="Verdana" w:hAnsi="Verdana"/>
                  <w:sz w:val="20"/>
                </w:rPr>
                <w:t>Standards for pharmacy professionals</w:t>
              </w:r>
            </w:hyperlink>
          </w:p>
          <w:p w14:paraId="66CF559B" w14:textId="5F578355" w:rsidR="007A20D0" w:rsidRPr="007A20D0" w:rsidRDefault="33E60E7C" w:rsidP="004D667C">
            <w:pPr>
              <w:numPr>
                <w:ilvl w:val="0"/>
                <w:numId w:val="11"/>
              </w:numPr>
              <w:spacing w:before="120" w:after="120"/>
              <w:rPr>
                <w:rFonts w:ascii="Verdana" w:hAnsi="Verdana"/>
                <w:color w:val="C00000"/>
                <w:sz w:val="20"/>
                <w:szCs w:val="20"/>
              </w:rPr>
            </w:pPr>
            <w:r w:rsidRPr="0C639946">
              <w:rPr>
                <w:rFonts w:ascii="Verdana" w:hAnsi="Verdana"/>
                <w:sz w:val="20"/>
                <w:szCs w:val="20"/>
              </w:rPr>
              <w:t>Royal Pharmaceutical Society (20</w:t>
            </w:r>
            <w:r w:rsidR="111F2FD3" w:rsidRPr="0C639946">
              <w:rPr>
                <w:rFonts w:ascii="Verdana" w:hAnsi="Verdana"/>
                <w:sz w:val="20"/>
                <w:szCs w:val="20"/>
              </w:rPr>
              <w:t>21</w:t>
            </w:r>
            <w:r w:rsidRPr="0C639946">
              <w:rPr>
                <w:rFonts w:ascii="Verdana" w:hAnsi="Verdana"/>
                <w:sz w:val="20"/>
                <w:szCs w:val="20"/>
              </w:rPr>
              <w:t xml:space="preserve">) </w:t>
            </w:r>
            <w:hyperlink r:id="rId21">
              <w:r w:rsidRPr="0C639946">
                <w:rPr>
                  <w:rStyle w:val="Hyperlink"/>
                  <w:rFonts w:ascii="Verdana" w:hAnsi="Verdana"/>
                  <w:sz w:val="20"/>
                  <w:szCs w:val="20"/>
                </w:rPr>
                <w:t>A competency framework for all prescribers</w:t>
              </w:r>
            </w:hyperlink>
          </w:p>
          <w:p w14:paraId="3B1400FD" w14:textId="77777777" w:rsidR="007A20D0" w:rsidRPr="007A20D0" w:rsidRDefault="007A20D0" w:rsidP="004D667C">
            <w:pPr>
              <w:numPr>
                <w:ilvl w:val="0"/>
                <w:numId w:val="11"/>
              </w:numPr>
              <w:spacing w:before="120" w:after="120"/>
              <w:rPr>
                <w:rFonts w:ascii="Verdana" w:hAnsi="Verdana"/>
                <w:color w:val="C00000"/>
                <w:sz w:val="20"/>
              </w:rPr>
            </w:pPr>
            <w:r w:rsidRPr="007A20D0">
              <w:rPr>
                <w:rFonts w:ascii="Verdana" w:hAnsi="Verdana"/>
                <w:sz w:val="20"/>
              </w:rPr>
              <w:t xml:space="preserve">Royal Pharmaceutical Society (2019) </w:t>
            </w:r>
            <w:hyperlink r:id="rId22" w:history="1">
              <w:r w:rsidRPr="007A20D0">
                <w:rPr>
                  <w:rStyle w:val="Hyperlink"/>
                  <w:rFonts w:ascii="Verdana" w:hAnsi="Verdana"/>
                  <w:sz w:val="20"/>
                </w:rPr>
                <w:t>A competency framework for designated prescribing practitioners</w:t>
              </w:r>
            </w:hyperlink>
          </w:p>
          <w:p w14:paraId="039A6643" w14:textId="77777777" w:rsidR="006B34D2" w:rsidRPr="007A20D0" w:rsidRDefault="006B34D2" w:rsidP="004D667C">
            <w:pPr>
              <w:spacing w:before="120" w:after="120"/>
              <w:rPr>
                <w:rFonts w:ascii="Verdana" w:hAnsi="Verdana"/>
                <w:sz w:val="20"/>
              </w:rPr>
            </w:pPr>
            <w:r w:rsidRPr="007A20D0">
              <w:rPr>
                <w:rFonts w:ascii="Verdana" w:hAnsi="Verdana"/>
                <w:sz w:val="20"/>
              </w:rPr>
              <w:t>Other internal reference points may include:</w:t>
            </w:r>
          </w:p>
          <w:p w14:paraId="69DE419D" w14:textId="77777777" w:rsidR="006B34D2" w:rsidRDefault="00000000" w:rsidP="004D667C">
            <w:pPr>
              <w:numPr>
                <w:ilvl w:val="0"/>
                <w:numId w:val="11"/>
              </w:numPr>
              <w:spacing w:before="120" w:after="120"/>
              <w:rPr>
                <w:rFonts w:ascii="Verdana" w:hAnsi="Verdana"/>
                <w:color w:val="FF0000"/>
                <w:sz w:val="20"/>
              </w:rPr>
            </w:pPr>
            <w:hyperlink r:id="rId23" w:history="1">
              <w:r w:rsidR="006B34D2">
                <w:rPr>
                  <w:rStyle w:val="Hyperlink"/>
                  <w:rFonts w:ascii="Verdana" w:hAnsi="Verdana"/>
                  <w:sz w:val="20"/>
                </w:rPr>
                <w:t>UoC Strategic Plan</w:t>
              </w:r>
            </w:hyperlink>
          </w:p>
          <w:p w14:paraId="6C9919AA" w14:textId="77777777" w:rsidR="006B34D2" w:rsidRDefault="00000000" w:rsidP="004D667C">
            <w:pPr>
              <w:numPr>
                <w:ilvl w:val="0"/>
                <w:numId w:val="11"/>
              </w:numPr>
              <w:spacing w:before="120" w:after="120"/>
              <w:rPr>
                <w:rFonts w:ascii="Verdana" w:hAnsi="Verdana"/>
                <w:color w:val="FF0000"/>
                <w:sz w:val="20"/>
              </w:rPr>
            </w:pPr>
            <w:hyperlink r:id="rId24" w:history="1">
              <w:r w:rsidR="006B34D2">
                <w:rPr>
                  <w:rStyle w:val="Hyperlink"/>
                  <w:rFonts w:ascii="Verdana" w:hAnsi="Verdana"/>
                  <w:sz w:val="20"/>
                </w:rPr>
                <w:t>UoC Learning, Teaching and Assessment Strategy</w:t>
              </w:r>
            </w:hyperlink>
          </w:p>
          <w:p w14:paraId="7D673359" w14:textId="20F41E0F" w:rsidR="006B34D2" w:rsidRPr="007A20D0" w:rsidRDefault="00000000" w:rsidP="004D667C">
            <w:pPr>
              <w:numPr>
                <w:ilvl w:val="0"/>
                <w:numId w:val="11"/>
              </w:numPr>
              <w:spacing w:before="120" w:after="120"/>
              <w:rPr>
                <w:rFonts w:ascii="Verdana" w:hAnsi="Verdana"/>
                <w:color w:val="FF0000"/>
                <w:sz w:val="20"/>
              </w:rPr>
            </w:pPr>
            <w:hyperlink r:id="rId25" w:history="1">
              <w:r w:rsidR="006B34D2">
                <w:rPr>
                  <w:rStyle w:val="Hyperlink"/>
                  <w:rFonts w:ascii="Verdana" w:hAnsi="Verdana"/>
                  <w:sz w:val="20"/>
                </w:rPr>
                <w:t>UoC Academic Regulations and Academic Procedures and Processes</w:t>
              </w:r>
            </w:hyperlink>
          </w:p>
        </w:tc>
      </w:tr>
    </w:tbl>
    <w:p w14:paraId="5B7B6E5A" w14:textId="15B60609" w:rsidR="0FE78FCB" w:rsidRDefault="0FE78FCB" w:rsidP="004D667C">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10456"/>
      </w:tblGrid>
      <w:tr w:rsidR="006B34D2" w14:paraId="60422AAF" w14:textId="77777777" w:rsidTr="4D69E6E4">
        <w:tc>
          <w:tcPr>
            <w:tcW w:w="10456"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7CD70DA1" w14:textId="77777777" w:rsidR="006B34D2" w:rsidRDefault="006B34D2" w:rsidP="004D667C">
            <w:pPr>
              <w:spacing w:before="120" w:after="120"/>
              <w:rPr>
                <w:rFonts w:ascii="Verdana" w:hAnsi="Verdana"/>
              </w:rPr>
            </w:pPr>
            <w:r>
              <w:rPr>
                <w:rFonts w:ascii="Verdana" w:hAnsi="Verdana"/>
                <w:b/>
              </w:rPr>
              <w:t>Graduate Prospects</w:t>
            </w:r>
          </w:p>
        </w:tc>
      </w:tr>
      <w:tr w:rsidR="006B34D2" w14:paraId="62C2AD30" w14:textId="77777777" w:rsidTr="4D69E6E4">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465A7" w14:textId="77777777" w:rsidR="007A20D0" w:rsidRPr="007A20D0" w:rsidRDefault="007A20D0" w:rsidP="004D667C">
            <w:pPr>
              <w:spacing w:before="120" w:after="120"/>
              <w:rPr>
                <w:rFonts w:ascii="Verdana" w:eastAsia="Times New Roman" w:hAnsi="Verdana" w:cs="Arial"/>
                <w:sz w:val="20"/>
                <w:szCs w:val="20"/>
                <w:lang w:eastAsia="zh-CN"/>
              </w:rPr>
            </w:pPr>
            <w:r w:rsidRPr="007A20D0">
              <w:rPr>
                <w:rFonts w:ascii="Verdana" w:eastAsia="Times New Roman" w:hAnsi="Verdana" w:cs="Arial"/>
                <w:sz w:val="20"/>
                <w:szCs w:val="20"/>
                <w:lang w:eastAsia="zh-CN"/>
              </w:rPr>
              <w:t>The programme leading to the award of the Practice Certificate in Independent Prescribing is offered at Level 7 only (</w:t>
            </w:r>
            <w:proofErr w:type="spellStart"/>
            <w:r w:rsidRPr="007A20D0">
              <w:rPr>
                <w:rFonts w:ascii="Verdana" w:eastAsia="Times New Roman" w:hAnsi="Verdana" w:cs="Arial"/>
                <w:sz w:val="20"/>
                <w:szCs w:val="20"/>
                <w:lang w:eastAsia="zh-CN"/>
              </w:rPr>
              <w:t>GPhC</w:t>
            </w:r>
            <w:proofErr w:type="spellEnd"/>
            <w:r w:rsidRPr="007A20D0">
              <w:rPr>
                <w:rFonts w:ascii="Verdana" w:eastAsia="Times New Roman" w:hAnsi="Verdana" w:cs="Arial"/>
                <w:sz w:val="20"/>
                <w:szCs w:val="20"/>
                <w:lang w:eastAsia="zh-CN"/>
              </w:rPr>
              <w:t>, 2019). As a result of successful completion, y</w:t>
            </w:r>
            <w:r w:rsidRPr="007A20D0">
              <w:rPr>
                <w:rFonts w:ascii="Verdana" w:eastAsia="Times New Roman" w:hAnsi="Verdana"/>
                <w:color w:val="333333"/>
                <w:sz w:val="20"/>
                <w:szCs w:val="20"/>
                <w:lang w:eastAsia="en-GB"/>
              </w:rPr>
              <w:t xml:space="preserve">ou will be a holistically focused practitioner who is able to critically evaluate and challenge prescribing practice with reference to evidence-based practice, equality and diversity and clinical governance. You </w:t>
            </w:r>
            <w:r w:rsidRPr="007A20D0">
              <w:rPr>
                <w:rFonts w:ascii="Verdana" w:eastAsia="Times New Roman" w:hAnsi="Verdana" w:cs="Arial"/>
                <w:sz w:val="20"/>
                <w:szCs w:val="20"/>
                <w:lang w:eastAsia="zh-CN"/>
              </w:rPr>
              <w:t>would be able to use the academic credit to contribute to further awards at Level 7 as APCL or APL, or simply to pursue an interest in academic writing and improve your higher-level writing skills with a view to publication or academic teaching.</w:t>
            </w:r>
          </w:p>
          <w:p w14:paraId="525C6DC4" w14:textId="77777777" w:rsidR="007A20D0" w:rsidRPr="007A20D0" w:rsidRDefault="007A20D0" w:rsidP="004D667C">
            <w:pPr>
              <w:spacing w:before="120" w:after="120"/>
              <w:rPr>
                <w:rFonts w:ascii="Verdana" w:eastAsia="Times New Roman" w:hAnsi="Verdana"/>
                <w:sz w:val="20"/>
                <w:szCs w:val="20"/>
                <w:lang w:eastAsia="en-GB"/>
              </w:rPr>
            </w:pPr>
            <w:r w:rsidRPr="007A20D0">
              <w:rPr>
                <w:rFonts w:ascii="Verdana" w:eastAsia="Times New Roman" w:hAnsi="Verdana"/>
                <w:sz w:val="20"/>
                <w:szCs w:val="20"/>
                <w:lang w:eastAsia="en-GB"/>
              </w:rPr>
              <w:t xml:space="preserve">This programme enables </w:t>
            </w:r>
            <w:r w:rsidRPr="007A20D0">
              <w:rPr>
                <w:rFonts w:ascii="Verdana" w:eastAsia="Times New Roman" w:hAnsi="Verdana" w:cs="Tahoma"/>
                <w:sz w:val="20"/>
                <w:szCs w:val="20"/>
              </w:rPr>
              <w:t>p</w:t>
            </w:r>
            <w:r w:rsidRPr="007A20D0">
              <w:rPr>
                <w:rFonts w:ascii="Verdana" w:eastAsia="Times New Roman" w:hAnsi="Verdana" w:cs="Arial"/>
                <w:sz w:val="20"/>
                <w:szCs w:val="20"/>
                <w:lang w:eastAsia="en-GB"/>
              </w:rPr>
              <w:t>harmacist independent prescribers in training</w:t>
            </w:r>
            <w:r w:rsidRPr="007A20D0">
              <w:rPr>
                <w:rFonts w:ascii="Verdana" w:eastAsia="Times New Roman" w:hAnsi="Verdana"/>
                <w:sz w:val="20"/>
                <w:szCs w:val="20"/>
                <w:lang w:eastAsia="en-GB"/>
              </w:rPr>
              <w:t xml:space="preserve"> to gain a recordable qualification which provides excellent opportunities for professional development and new employment opportunities across the range of healthcare settings. Above all, pharmacist independent prescribers can deliver safe and effective care and enhance the patient experience and are therefore seen as key to the delivery of the</w:t>
            </w:r>
            <w:r w:rsidRPr="007A20D0">
              <w:rPr>
                <w:rFonts w:ascii="Verdana" w:eastAsia="Times New Roman" w:hAnsi="Verdana"/>
                <w:color w:val="333333"/>
                <w:sz w:val="20"/>
                <w:szCs w:val="20"/>
                <w:lang w:eastAsia="en-GB"/>
              </w:rPr>
              <w:t xml:space="preserve"> </w:t>
            </w:r>
            <w:hyperlink r:id="rId26" w:history="1">
              <w:r w:rsidRPr="007A20D0">
                <w:rPr>
                  <w:rFonts w:ascii="Verdana" w:eastAsia="Times New Roman" w:hAnsi="Verdana"/>
                  <w:color w:val="0000FF"/>
                  <w:sz w:val="20"/>
                  <w:szCs w:val="20"/>
                  <w:u w:val="single"/>
                  <w:lang w:eastAsia="en-GB"/>
                </w:rPr>
                <w:t>NHS 10-year plan</w:t>
              </w:r>
            </w:hyperlink>
            <w:r w:rsidRPr="007A20D0">
              <w:rPr>
                <w:rFonts w:ascii="Verdana" w:eastAsia="Times New Roman" w:hAnsi="Verdana"/>
                <w:color w:val="333333"/>
                <w:sz w:val="20"/>
                <w:szCs w:val="20"/>
                <w:lang w:eastAsia="en-GB"/>
              </w:rPr>
              <w:t xml:space="preserve"> </w:t>
            </w:r>
            <w:r w:rsidRPr="007A20D0">
              <w:rPr>
                <w:rFonts w:ascii="Verdana" w:eastAsia="Times New Roman" w:hAnsi="Verdana"/>
                <w:sz w:val="20"/>
                <w:szCs w:val="20"/>
                <w:lang w:eastAsia="en-GB"/>
              </w:rPr>
              <w:t>in hospitals and primary care.</w:t>
            </w:r>
          </w:p>
          <w:p w14:paraId="3EEBD796" w14:textId="5A815047" w:rsidR="007A20D0" w:rsidRPr="007A20D0" w:rsidRDefault="33E60E7C" w:rsidP="004D667C">
            <w:pPr>
              <w:spacing w:before="120" w:after="120"/>
              <w:rPr>
                <w:rFonts w:ascii="Verdana" w:eastAsia="Times New Roman" w:hAnsi="Verdana"/>
                <w:sz w:val="20"/>
                <w:szCs w:val="20"/>
                <w:lang w:eastAsia="en-GB"/>
              </w:rPr>
            </w:pPr>
            <w:r w:rsidRPr="0C639946">
              <w:rPr>
                <w:rFonts w:ascii="Verdana" w:eastAsia="Times New Roman" w:hAnsi="Verdana"/>
                <w:sz w:val="20"/>
                <w:szCs w:val="20"/>
                <w:lang w:eastAsia="en-GB"/>
              </w:rPr>
              <w:t xml:space="preserve">Health Education </w:t>
            </w:r>
            <w:r w:rsidR="0B1D66B3" w:rsidRPr="0C639946">
              <w:rPr>
                <w:rFonts w:ascii="Verdana" w:eastAsia="Times New Roman" w:hAnsi="Verdana"/>
                <w:sz w:val="20"/>
                <w:szCs w:val="20"/>
                <w:lang w:eastAsia="en-GB"/>
              </w:rPr>
              <w:t>Northwest</w:t>
            </w:r>
            <w:r w:rsidRPr="0C639946">
              <w:rPr>
                <w:rFonts w:ascii="Verdana" w:eastAsia="Times New Roman" w:hAnsi="Verdana"/>
                <w:sz w:val="20"/>
                <w:szCs w:val="20"/>
                <w:lang w:eastAsia="en-GB"/>
              </w:rPr>
              <w:t xml:space="preserve">, i5 Health (2015) </w:t>
            </w:r>
            <w:hyperlink r:id="rId27">
              <w:proofErr w:type="gramStart"/>
              <w:r w:rsidRPr="0C639946">
                <w:rPr>
                  <w:rFonts w:ascii="Verdana" w:eastAsia="Times New Roman" w:hAnsi="Verdana"/>
                  <w:color w:val="0000FF"/>
                  <w:sz w:val="20"/>
                  <w:szCs w:val="20"/>
                  <w:u w:val="single"/>
                  <w:lang w:eastAsia="en-GB"/>
                </w:rPr>
                <w:t>Non-medical</w:t>
              </w:r>
              <w:proofErr w:type="gramEnd"/>
              <w:r w:rsidRPr="0C639946">
                <w:rPr>
                  <w:rFonts w:ascii="Verdana" w:eastAsia="Times New Roman" w:hAnsi="Verdana"/>
                  <w:color w:val="0000FF"/>
                  <w:sz w:val="20"/>
                  <w:szCs w:val="20"/>
                  <w:u w:val="single"/>
                  <w:lang w:eastAsia="en-GB"/>
                </w:rPr>
                <w:t xml:space="preserve"> prescribing: an economic evaluation</w:t>
              </w:r>
            </w:hyperlink>
          </w:p>
          <w:p w14:paraId="68767448" w14:textId="78BA7818" w:rsidR="006B34D2" w:rsidRDefault="007A20D0" w:rsidP="004D667C">
            <w:pPr>
              <w:spacing w:before="120" w:after="120"/>
              <w:rPr>
                <w:rFonts w:ascii="Verdana" w:hAnsi="Verdana"/>
                <w:color w:val="C00000"/>
                <w:sz w:val="20"/>
                <w:szCs w:val="20"/>
              </w:rPr>
            </w:pPr>
            <w:r w:rsidRPr="007A20D0">
              <w:rPr>
                <w:rFonts w:ascii="Verdana" w:hAnsi="Verdana"/>
                <w:spacing w:val="-2"/>
                <w:sz w:val="20"/>
                <w:szCs w:val="20"/>
              </w:rPr>
              <w:t>Weeks, G., George, J., Maclure, K., Stewart, D. (2016)</w:t>
            </w:r>
            <w:r w:rsidRPr="007A20D0">
              <w:rPr>
                <w:rFonts w:ascii="Verdana" w:hAnsi="Verdana"/>
                <w:color w:val="333333"/>
                <w:spacing w:val="-2"/>
                <w:sz w:val="20"/>
                <w:szCs w:val="20"/>
              </w:rPr>
              <w:t xml:space="preserve"> </w:t>
            </w:r>
            <w:hyperlink r:id="rId28" w:history="1">
              <w:r w:rsidRPr="007A20D0">
                <w:rPr>
                  <w:rFonts w:ascii="Verdana" w:hAnsi="Verdana"/>
                  <w:color w:val="0000FF"/>
                  <w:spacing w:val="-2"/>
                  <w:sz w:val="20"/>
                  <w:szCs w:val="20"/>
                  <w:u w:val="single"/>
                </w:rPr>
                <w:t>Non</w:t>
              </w:r>
              <w:r w:rsidRPr="007A20D0">
                <w:rPr>
                  <w:rFonts w:ascii="Cambria Math" w:hAnsi="Cambria Math" w:cs="Cambria Math"/>
                  <w:color w:val="0000FF"/>
                  <w:spacing w:val="-2"/>
                  <w:sz w:val="20"/>
                  <w:szCs w:val="20"/>
                  <w:u w:val="single"/>
                </w:rPr>
                <w:t>‐</w:t>
              </w:r>
              <w:r w:rsidRPr="007A20D0">
                <w:rPr>
                  <w:rFonts w:ascii="Verdana" w:hAnsi="Verdana"/>
                  <w:color w:val="0000FF"/>
                  <w:spacing w:val="-2"/>
                  <w:sz w:val="20"/>
                  <w:szCs w:val="20"/>
                  <w:u w:val="single"/>
                </w:rPr>
                <w:t>medical prescribing versus medical prescribing for acute and chronic disease management in primary and secondary care</w:t>
              </w:r>
            </w:hyperlink>
            <w:r w:rsidRPr="007A20D0">
              <w:rPr>
                <w:rFonts w:ascii="Verdana" w:hAnsi="Verdana"/>
                <w:color w:val="333333"/>
                <w:spacing w:val="-2"/>
                <w:sz w:val="20"/>
                <w:szCs w:val="20"/>
              </w:rPr>
              <w:t xml:space="preserve">. </w:t>
            </w:r>
            <w:r w:rsidRPr="007A20D0">
              <w:rPr>
                <w:rFonts w:ascii="Verdana" w:hAnsi="Verdana"/>
                <w:spacing w:val="-2"/>
                <w:sz w:val="20"/>
                <w:szCs w:val="20"/>
              </w:rPr>
              <w:t>Cochrane Systematic Review.</w:t>
            </w:r>
          </w:p>
        </w:tc>
      </w:tr>
    </w:tbl>
    <w:p w14:paraId="45FB0818" w14:textId="77777777" w:rsidR="006B34D2" w:rsidRDefault="006B34D2" w:rsidP="004D667C">
      <w:pPr>
        <w:spacing w:before="120" w:after="12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10456"/>
      </w:tblGrid>
      <w:tr w:rsidR="006B34D2" w14:paraId="2F70662C" w14:textId="77777777" w:rsidTr="4D69E6E4">
        <w:tc>
          <w:tcPr>
            <w:tcW w:w="10682"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50B79F8B" w14:textId="77777777" w:rsidR="006B34D2" w:rsidRDefault="006B34D2" w:rsidP="004D667C">
            <w:pPr>
              <w:spacing w:before="120" w:after="120"/>
              <w:rPr>
                <w:rFonts w:ascii="Verdana" w:hAnsi="Verdana"/>
                <w:b/>
              </w:rPr>
            </w:pPr>
            <w:r>
              <w:rPr>
                <w:rFonts w:ascii="Verdana" w:hAnsi="Verdana"/>
                <w:b/>
              </w:rPr>
              <w:t>Learning, Teaching and Assessment Strategies employed to enable the Programme Outcomes to be Achieved and Demonstrated</w:t>
            </w:r>
          </w:p>
        </w:tc>
      </w:tr>
      <w:tr w:rsidR="006B34D2" w:rsidRPr="00877822" w14:paraId="2C67390D" w14:textId="77777777" w:rsidTr="4D69E6E4">
        <w:tc>
          <w:tcPr>
            <w:tcW w:w="10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C7530" w14:textId="77777777" w:rsidR="006B34D2" w:rsidRPr="00877822" w:rsidRDefault="006B34D2" w:rsidP="004D667C">
            <w:pPr>
              <w:spacing w:before="120" w:after="120"/>
              <w:rPr>
                <w:rFonts w:ascii="Verdana" w:hAnsi="Verdana"/>
                <w:sz w:val="20"/>
                <w:szCs w:val="20"/>
              </w:rPr>
            </w:pPr>
            <w:r w:rsidRPr="00877822">
              <w:rPr>
                <w:rFonts w:ascii="Verdana" w:hAnsi="Verdana"/>
                <w:sz w:val="20"/>
                <w:szCs w:val="20"/>
              </w:rPr>
              <w:t xml:space="preserve">As a student at the University of Cumbria, you are part of an inclusive learning community that recognises diversity. You will have opportunities to learn by interacting with others in a collegiate, </w:t>
            </w:r>
            <w:proofErr w:type="gramStart"/>
            <w:r w:rsidRPr="00877822">
              <w:rPr>
                <w:rFonts w:ascii="Verdana" w:hAnsi="Verdana"/>
                <w:sz w:val="20"/>
                <w:szCs w:val="20"/>
              </w:rPr>
              <w:t>facilitative</w:t>
            </w:r>
            <w:proofErr w:type="gramEnd"/>
            <w:r w:rsidRPr="00877822">
              <w:rPr>
                <w:rFonts w:ascii="Verdana" w:hAnsi="Verdana"/>
                <w:sz w:val="20"/>
                <w:szCs w:val="20"/>
              </w:rPr>
              <w:t xml:space="preserve"> and dynamic learning environment. Teaching, </w:t>
            </w:r>
            <w:proofErr w:type="gramStart"/>
            <w:r w:rsidRPr="00877822">
              <w:rPr>
                <w:rFonts w:ascii="Verdana" w:hAnsi="Verdana"/>
                <w:sz w:val="20"/>
                <w:szCs w:val="20"/>
              </w:rPr>
              <w:t>assessment</w:t>
            </w:r>
            <w:proofErr w:type="gramEnd"/>
            <w:r w:rsidRPr="00877822">
              <w:rPr>
                <w:rFonts w:ascii="Verdana" w:hAnsi="Verdana"/>
                <w:sz w:val="20"/>
                <w:szCs w:val="20"/>
              </w:rPr>
              <w:t xml:space="preserve"> and student support will allow equal and equitable opportunities for you to optimise your potential and develop autonomy.</w:t>
            </w:r>
          </w:p>
          <w:p w14:paraId="7D99B8AC" w14:textId="2E9552DF" w:rsidR="0FE78FCB" w:rsidRPr="00EC2A90" w:rsidRDefault="006B34D2" w:rsidP="004D667C">
            <w:pPr>
              <w:spacing w:before="120" w:after="120"/>
              <w:rPr>
                <w:rFonts w:ascii="Verdana" w:hAnsi="Verdana"/>
                <w:sz w:val="20"/>
                <w:szCs w:val="20"/>
              </w:rPr>
            </w:pPr>
            <w:r w:rsidRPr="0FE78FCB">
              <w:rPr>
                <w:rFonts w:ascii="Verdana" w:hAnsi="Verdana"/>
                <w:sz w:val="20"/>
                <w:szCs w:val="20"/>
              </w:rPr>
              <w:t>We seek to create a stimulating and innovative community of learning, whether encountered on campus or at a distance, on placement or in the workplace. Facilitated by our expert practitioner staff, you will experience a learning environment that is well equipped, flexible, and stimulating.</w:t>
            </w:r>
          </w:p>
          <w:p w14:paraId="1C273AC3" w14:textId="77777777" w:rsidR="006B34D2" w:rsidRPr="00877822" w:rsidRDefault="006B34D2" w:rsidP="004D667C">
            <w:pPr>
              <w:spacing w:before="120" w:after="120"/>
              <w:rPr>
                <w:rFonts w:ascii="Verdana" w:hAnsi="Verdana"/>
                <w:b/>
                <w:sz w:val="20"/>
                <w:szCs w:val="20"/>
              </w:rPr>
            </w:pPr>
            <w:r w:rsidRPr="00877822">
              <w:rPr>
                <w:rFonts w:ascii="Verdana" w:hAnsi="Verdana"/>
                <w:b/>
                <w:sz w:val="20"/>
                <w:szCs w:val="20"/>
              </w:rPr>
              <w:t>Learning and Teaching</w:t>
            </w:r>
          </w:p>
          <w:p w14:paraId="1F43266D"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This programme requires the development of a sound underpinning of theoretical knowledge to inform professional practice which, in turn, is informed by that practice. The programme approach is based on contextual learning. Contextual learning relates not just to theoretical knowledge, but also to the underpinning values, beliefs, </w:t>
            </w:r>
            <w:proofErr w:type="gramStart"/>
            <w:r w:rsidRPr="007A20D0">
              <w:rPr>
                <w:rFonts w:ascii="Verdana" w:hAnsi="Verdana"/>
                <w:sz w:val="20"/>
                <w:szCs w:val="20"/>
              </w:rPr>
              <w:t>ethics</w:t>
            </w:r>
            <w:proofErr w:type="gramEnd"/>
            <w:r w:rsidRPr="007A20D0">
              <w:rPr>
                <w:rFonts w:ascii="Verdana" w:hAnsi="Verdana"/>
                <w:sz w:val="20"/>
                <w:szCs w:val="20"/>
              </w:rPr>
              <w:t xml:space="preserve"> and skills, as applied to people of all ages and abilities, recognising differences and diversity within the population.</w:t>
            </w:r>
          </w:p>
          <w:p w14:paraId="6E25EED3" w14:textId="23E66A74" w:rsidR="007A20D0" w:rsidRPr="007A20D0" w:rsidRDefault="06C64094" w:rsidP="004D667C">
            <w:pPr>
              <w:spacing w:before="120" w:after="120"/>
              <w:rPr>
                <w:rFonts w:ascii="Verdana" w:hAnsi="Verdana"/>
                <w:sz w:val="20"/>
                <w:szCs w:val="20"/>
              </w:rPr>
            </w:pPr>
            <w:r w:rsidRPr="4D69E6E4">
              <w:rPr>
                <w:rFonts w:ascii="Verdana" w:hAnsi="Verdana"/>
                <w:sz w:val="20"/>
                <w:szCs w:val="20"/>
              </w:rPr>
              <w:t xml:space="preserve">The programme will be delivered through flexible distributed learning, using a range of learning contexts for enactment of the curriculum. Learning is based on a minimum of 26 days of structured learning activities and 90 hours (approximately 12 days’ equivalent) of learning in professional </w:t>
            </w:r>
            <w:r w:rsidRPr="4D69E6E4">
              <w:rPr>
                <w:rFonts w:ascii="Verdana" w:hAnsi="Verdana"/>
                <w:sz w:val="20"/>
                <w:szCs w:val="20"/>
              </w:rPr>
              <w:lastRenderedPageBreak/>
              <w:t xml:space="preserve">practice. In-classroom </w:t>
            </w:r>
            <w:r w:rsidR="6D25531E" w:rsidRPr="4D69E6E4">
              <w:rPr>
                <w:rFonts w:ascii="Verdana" w:hAnsi="Verdana"/>
                <w:sz w:val="20"/>
                <w:szCs w:val="20"/>
              </w:rPr>
              <w:t xml:space="preserve">and virtual classroom </w:t>
            </w:r>
            <w:r w:rsidRPr="4D69E6E4">
              <w:rPr>
                <w:rFonts w:ascii="Verdana" w:hAnsi="Verdana"/>
                <w:sz w:val="20"/>
                <w:szCs w:val="20"/>
              </w:rPr>
              <w:t>sessions provide opportunities for the development of identified clinical skills to support a range of clinical assessments and diagnostic decision-making.</w:t>
            </w:r>
          </w:p>
          <w:p w14:paraId="4047FC94" w14:textId="10377A14" w:rsidR="007A20D0" w:rsidRPr="007A20D0" w:rsidRDefault="007A20D0" w:rsidP="004D667C">
            <w:pPr>
              <w:spacing w:before="120" w:after="120"/>
              <w:rPr>
                <w:rFonts w:ascii="Verdana" w:hAnsi="Verdana"/>
                <w:sz w:val="20"/>
                <w:szCs w:val="20"/>
              </w:rPr>
            </w:pPr>
            <w:r w:rsidRPr="0FE78FCB">
              <w:rPr>
                <w:rFonts w:ascii="Verdana" w:hAnsi="Verdana"/>
                <w:sz w:val="20"/>
                <w:szCs w:val="20"/>
              </w:rPr>
              <w:t xml:space="preserve">As a pharmacist independent prescriber in </w:t>
            </w:r>
            <w:r w:rsidR="00DE61C8" w:rsidRPr="0FE78FCB">
              <w:rPr>
                <w:rFonts w:ascii="Verdana" w:hAnsi="Verdana"/>
                <w:sz w:val="20"/>
                <w:szCs w:val="20"/>
              </w:rPr>
              <w:t>training,</w:t>
            </w:r>
            <w:r w:rsidRPr="0FE78FCB">
              <w:rPr>
                <w:rFonts w:ascii="Verdana" w:hAnsi="Verdana"/>
                <w:sz w:val="20"/>
                <w:szCs w:val="20"/>
              </w:rPr>
              <w:t xml:space="preserve"> you are actively facilitated to apply and integrate your existing and developing professional knowledge and understanding within your clinical practice thus providing an educational experience which seeks to facilitate your clinical practice in your current environment as well as supporting future development. The role of the Designated Prescribing Practitioner (DPP) is central to the contextualisation of professional knowledge within your clinical practice. Where necessary the programme team can call on a wide range of professional colleagues within and </w:t>
            </w:r>
            <w:r w:rsidR="42397C96" w:rsidRPr="0FE78FCB">
              <w:rPr>
                <w:rFonts w:ascii="Verdana" w:hAnsi="Verdana"/>
                <w:sz w:val="20"/>
                <w:szCs w:val="20"/>
              </w:rPr>
              <w:t>out with</w:t>
            </w:r>
            <w:r w:rsidRPr="0FE78FCB">
              <w:rPr>
                <w:rFonts w:ascii="Verdana" w:hAnsi="Verdana"/>
                <w:sz w:val="20"/>
                <w:szCs w:val="20"/>
              </w:rPr>
              <w:t xml:space="preserve"> the University for additional specialist area support for your learning. Teaching and learning strategies will therefore engage you in activities that help you to connect theory to the context of real-life situations, which leads to meaningful learning. </w:t>
            </w:r>
          </w:p>
          <w:p w14:paraId="24B19135" w14:textId="58C06FE3" w:rsidR="007A20D0" w:rsidRPr="007A20D0" w:rsidRDefault="06C64094" w:rsidP="004D667C">
            <w:pPr>
              <w:spacing w:before="120" w:after="120"/>
              <w:rPr>
                <w:rFonts w:ascii="Verdana" w:hAnsi="Verdana"/>
                <w:sz w:val="20"/>
                <w:szCs w:val="20"/>
              </w:rPr>
            </w:pPr>
            <w:r w:rsidRPr="4D69E6E4">
              <w:rPr>
                <w:rFonts w:ascii="Verdana" w:hAnsi="Verdana"/>
                <w:sz w:val="20"/>
                <w:szCs w:val="20"/>
              </w:rPr>
              <w:t xml:space="preserve">Two other concepts that underpin contextual learning within the curriculum are evidence-based practice and reflective practice. As a pharmacist independent prescriber in training, you will be required to analyse and evaluate your learning and your </w:t>
            </w:r>
            <w:r w:rsidR="47A5690B" w:rsidRPr="4D69E6E4">
              <w:rPr>
                <w:rFonts w:ascii="Verdana" w:hAnsi="Verdana"/>
                <w:sz w:val="20"/>
                <w:szCs w:val="20"/>
              </w:rPr>
              <w:t>practice and</w:t>
            </w:r>
            <w:r w:rsidRPr="4D69E6E4">
              <w:rPr>
                <w:rFonts w:ascii="Verdana" w:hAnsi="Verdana"/>
                <w:sz w:val="20"/>
                <w:szCs w:val="20"/>
              </w:rPr>
              <w:t xml:space="preserve"> make sense of it in terms of informing future practice. Evidence-based practice can be seen as an integral part of reflective practice, in that it takes a problem-solving approach to practice that integrates a systematic search for and critical appraisal of the most relevant evidence to support practice, also </w:t>
            </w:r>
            <w:r w:rsidR="013399B8" w:rsidRPr="4D69E6E4">
              <w:rPr>
                <w:rFonts w:ascii="Verdana" w:hAnsi="Verdana"/>
                <w:sz w:val="20"/>
                <w:szCs w:val="20"/>
              </w:rPr>
              <w:t>considering</w:t>
            </w:r>
            <w:r w:rsidRPr="4D69E6E4">
              <w:rPr>
                <w:rFonts w:ascii="Verdana" w:hAnsi="Verdana"/>
                <w:sz w:val="20"/>
                <w:szCs w:val="20"/>
              </w:rPr>
              <w:t xml:space="preserve"> knowledge gained from your own and others’ expertise and from patient preferences and values (Melnyk and Fineout-Overholt, 2011). </w:t>
            </w:r>
          </w:p>
          <w:p w14:paraId="4B1C771E" w14:textId="7AC88133" w:rsidR="007A20D0" w:rsidRPr="007A20D0" w:rsidRDefault="007A20D0" w:rsidP="004D667C">
            <w:pPr>
              <w:spacing w:before="120" w:after="120"/>
              <w:rPr>
                <w:rFonts w:ascii="Verdana" w:hAnsi="Verdana"/>
                <w:sz w:val="20"/>
                <w:szCs w:val="20"/>
              </w:rPr>
            </w:pPr>
            <w:r w:rsidRPr="007A20D0">
              <w:rPr>
                <w:rFonts w:ascii="Verdana" w:hAnsi="Verdana"/>
                <w:sz w:val="20"/>
                <w:szCs w:val="20"/>
              </w:rPr>
              <w:t>Learning and assessment are considered as interrelated. Everything th</w:t>
            </w:r>
            <w:r>
              <w:rPr>
                <w:rFonts w:ascii="Verdana" w:hAnsi="Verdana"/>
                <w:sz w:val="20"/>
                <w:szCs w:val="20"/>
              </w:rPr>
              <w:t xml:space="preserve">at you undertake as a student </w:t>
            </w:r>
            <w:r w:rsidRPr="007A20D0">
              <w:rPr>
                <w:rFonts w:ascii="Verdana" w:hAnsi="Verdana"/>
                <w:sz w:val="20"/>
                <w:szCs w:val="20"/>
              </w:rPr>
              <w:t>and the products of that learning – is couched amongst active participation and formative opportunities for dialogue and feedback throughout. The programme includes formative activity ‘specifically intended to generate feedback on performance to improve and accelerate learning’ (Nichol and McFarlane-Dick, 2006). Formative assessment provides specific opportunities for tutors to support your successful achievement of the programme Learning Outcomes and at the academic level chosen of the programme.</w:t>
            </w:r>
          </w:p>
          <w:p w14:paraId="1E12A413"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The assessment strategy for the programme reflects the University’s Learning, Teaching &amp; Assessment Strategy 2017-22. Summative assessment is authentic, in that, assessment clearly aligns to programme and module level learning outcomes, </w:t>
            </w:r>
            <w:proofErr w:type="gramStart"/>
            <w:r w:rsidRPr="007A20D0">
              <w:rPr>
                <w:rFonts w:ascii="Verdana" w:hAnsi="Verdana"/>
                <w:sz w:val="20"/>
                <w:szCs w:val="20"/>
              </w:rPr>
              <w:t>encourages</w:t>
            </w:r>
            <w:proofErr w:type="gramEnd"/>
            <w:r w:rsidRPr="007A20D0">
              <w:rPr>
                <w:rFonts w:ascii="Verdana" w:hAnsi="Verdana"/>
                <w:sz w:val="20"/>
                <w:szCs w:val="20"/>
              </w:rPr>
              <w:t xml:space="preserve"> and enables progressive development through feedback, and is of relevance to practice needs that also develop skills and capacity for a wider employability context.</w:t>
            </w:r>
          </w:p>
          <w:p w14:paraId="4C2D2F23" w14:textId="1D018399" w:rsidR="007A20D0" w:rsidRPr="007A20D0" w:rsidRDefault="007A20D0" w:rsidP="004D667C">
            <w:pPr>
              <w:spacing w:before="120" w:after="120"/>
              <w:rPr>
                <w:rFonts w:ascii="Verdana" w:hAnsi="Verdana"/>
                <w:sz w:val="20"/>
                <w:szCs w:val="20"/>
              </w:rPr>
            </w:pPr>
            <w:r w:rsidRPr="0FE78FCB">
              <w:rPr>
                <w:rFonts w:ascii="Verdana" w:hAnsi="Verdana"/>
                <w:sz w:val="20"/>
                <w:szCs w:val="20"/>
              </w:rPr>
              <w:t xml:space="preserve">Intellectual, subject specific and key transferable skills are central to learning opportunities and assessment. As a pharmacist prescriber in </w:t>
            </w:r>
            <w:r w:rsidR="6A3CC9C7" w:rsidRPr="0FE78FCB">
              <w:rPr>
                <w:rFonts w:ascii="Verdana" w:hAnsi="Verdana"/>
                <w:sz w:val="20"/>
                <w:szCs w:val="20"/>
              </w:rPr>
              <w:t>training,</w:t>
            </w:r>
            <w:r w:rsidRPr="0FE78FCB">
              <w:rPr>
                <w:rFonts w:ascii="Verdana" w:hAnsi="Verdana"/>
                <w:sz w:val="20"/>
                <w:szCs w:val="20"/>
              </w:rPr>
              <w:t xml:space="preserve"> you will be encouraged to develop an enquiring critical approach to your study and professional practice, to critically reflect on your skills development in your learning and practice contexts </w:t>
            </w:r>
            <w:r w:rsidR="4446AEBA" w:rsidRPr="0FE78FCB">
              <w:rPr>
                <w:rFonts w:ascii="Verdana" w:hAnsi="Verdana"/>
                <w:sz w:val="20"/>
                <w:szCs w:val="20"/>
              </w:rPr>
              <w:t>to</w:t>
            </w:r>
            <w:r w:rsidRPr="0FE78FCB">
              <w:rPr>
                <w:rFonts w:ascii="Verdana" w:hAnsi="Verdana"/>
                <w:sz w:val="20"/>
                <w:szCs w:val="20"/>
              </w:rPr>
              <w:t xml:space="preserve"> develop your ability to make sound professional judgments.</w:t>
            </w:r>
          </w:p>
          <w:p w14:paraId="7C76416E"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A variety of methods and strategies will be used to ensure development and acquisition of key knowledge and understanding. You will be given opportunities to experience flexible and creative approaches to teaching and learning, which foster independent enquiry-based learning.</w:t>
            </w:r>
          </w:p>
          <w:p w14:paraId="5FB9127E" w14:textId="77777777" w:rsidR="007A20D0" w:rsidRPr="007A20D0" w:rsidRDefault="007A20D0" w:rsidP="004D667C">
            <w:pPr>
              <w:spacing w:before="120" w:after="120"/>
              <w:rPr>
                <w:rFonts w:ascii="Verdana" w:hAnsi="Verdana"/>
                <w:sz w:val="20"/>
                <w:szCs w:val="20"/>
              </w:rPr>
            </w:pPr>
            <w:r w:rsidRPr="007A20D0">
              <w:rPr>
                <w:rFonts w:ascii="Verdana" w:hAnsi="Verdana"/>
                <w:sz w:val="20"/>
                <w:szCs w:val="20"/>
              </w:rPr>
              <w:t xml:space="preserve">Campus sites are used to deliver face-to-face learning and teaching sessions, which are supported and enhanced </w:t>
            </w:r>
            <w:proofErr w:type="gramStart"/>
            <w:r w:rsidRPr="007A20D0">
              <w:rPr>
                <w:rFonts w:ascii="Verdana" w:hAnsi="Verdana"/>
                <w:sz w:val="20"/>
                <w:szCs w:val="20"/>
              </w:rPr>
              <w:t>by the use of</w:t>
            </w:r>
            <w:proofErr w:type="gramEnd"/>
            <w:r w:rsidRPr="007A20D0">
              <w:rPr>
                <w:rFonts w:ascii="Verdana" w:hAnsi="Verdana"/>
                <w:sz w:val="20"/>
                <w:szCs w:val="20"/>
              </w:rPr>
              <w:t xml:space="preserve"> University’s Virtual Learning Environment (VLE) and a range of eLearning technologies such as Blackboard and Turnitin where suitable. As a pharmacist independent prescriber in training therefore, you will be expected to engage in supported and interactive online learning. </w:t>
            </w:r>
          </w:p>
          <w:p w14:paraId="58FF3BF3" w14:textId="64658E70" w:rsidR="007A20D0" w:rsidRPr="0079162E" w:rsidRDefault="007A20D0" w:rsidP="004D667C">
            <w:pPr>
              <w:spacing w:before="120" w:after="120"/>
              <w:rPr>
                <w:rFonts w:ascii="Verdana" w:hAnsi="Verdana"/>
                <w:sz w:val="20"/>
                <w:szCs w:val="20"/>
              </w:rPr>
            </w:pPr>
            <w:r w:rsidRPr="0FE78FCB">
              <w:rPr>
                <w:rFonts w:ascii="Verdana" w:hAnsi="Verdana"/>
                <w:sz w:val="20"/>
                <w:szCs w:val="20"/>
              </w:rPr>
              <w:t xml:space="preserve">The delivery of study, academic and digital skills are embedded and extend and adapt definitive resources available centrally through Library and Study Skills Support Services, thus enhancing </w:t>
            </w:r>
            <w:r w:rsidRPr="0FE78FCB">
              <w:rPr>
                <w:rFonts w:ascii="Verdana" w:hAnsi="Verdana"/>
                <w:sz w:val="20"/>
                <w:szCs w:val="20"/>
              </w:rPr>
              <w:lastRenderedPageBreak/>
              <w:t xml:space="preserve">accessibility and inclusivity through flexible delivery, and the appropriate use of technology to support a </w:t>
            </w:r>
            <w:r w:rsidR="0D22F718" w:rsidRPr="0FE78FCB">
              <w:rPr>
                <w:rFonts w:ascii="Verdana" w:hAnsi="Verdana"/>
                <w:sz w:val="20"/>
                <w:szCs w:val="20"/>
              </w:rPr>
              <w:t>high-quality</w:t>
            </w:r>
            <w:r w:rsidRPr="0FE78FCB">
              <w:rPr>
                <w:rFonts w:ascii="Verdana" w:hAnsi="Verdana"/>
                <w:sz w:val="20"/>
                <w:szCs w:val="20"/>
              </w:rPr>
              <w:t xml:space="preserve"> learning experience.</w:t>
            </w:r>
          </w:p>
          <w:p w14:paraId="52ABCED7" w14:textId="493DAC35" w:rsidR="007A20D0" w:rsidRPr="0079162E" w:rsidRDefault="007A20D0" w:rsidP="004D667C">
            <w:pPr>
              <w:spacing w:before="120" w:after="120"/>
              <w:rPr>
                <w:rFonts w:ascii="Verdana" w:hAnsi="Verdana"/>
                <w:sz w:val="20"/>
                <w:szCs w:val="20"/>
              </w:rPr>
            </w:pPr>
            <w:r w:rsidRPr="0FE78FCB">
              <w:rPr>
                <w:rFonts w:ascii="Verdana" w:hAnsi="Verdana"/>
                <w:sz w:val="20"/>
                <w:szCs w:val="20"/>
              </w:rPr>
              <w:t>Learning in practice is supported by the DPP, who will facilitate and support the underpinning philosophy of contextual learning, and the embedding of employable knowledge and skills within the curriculum</w:t>
            </w:r>
            <w:r w:rsidR="7FF6CC22" w:rsidRPr="0FE78FCB">
              <w:rPr>
                <w:rFonts w:ascii="Verdana" w:hAnsi="Verdana"/>
                <w:sz w:val="20"/>
                <w:szCs w:val="20"/>
              </w:rPr>
              <w:t>, which is linked to the Royal Pharmaceutical Society Framework (RPS) (2021).</w:t>
            </w:r>
          </w:p>
          <w:p w14:paraId="242AE7B9" w14:textId="3AE7A2F7" w:rsidR="007A20D0" w:rsidRPr="0079162E" w:rsidRDefault="007A20D0" w:rsidP="004D667C">
            <w:pPr>
              <w:spacing w:before="120" w:after="120"/>
              <w:rPr>
                <w:rFonts w:ascii="Verdana" w:hAnsi="Verdana"/>
                <w:sz w:val="20"/>
                <w:szCs w:val="20"/>
              </w:rPr>
            </w:pPr>
            <w:r w:rsidRPr="0FE78FCB">
              <w:rPr>
                <w:rFonts w:ascii="Verdana" w:hAnsi="Verdana"/>
                <w:sz w:val="20"/>
                <w:szCs w:val="20"/>
              </w:rPr>
              <w:t xml:space="preserve">The DPP supervising your learning and assessment in practice will be supported by the programme team to prepare for and undertake their role. </w:t>
            </w:r>
            <w:r w:rsidR="602C6F0A" w:rsidRPr="0FE78FCB">
              <w:rPr>
                <w:rFonts w:ascii="Verdana" w:hAnsi="Verdana"/>
                <w:sz w:val="20"/>
                <w:szCs w:val="20"/>
              </w:rPr>
              <w:t>Virtual or Face-to-face</w:t>
            </w:r>
            <w:r w:rsidRPr="0FE78FCB">
              <w:rPr>
                <w:rFonts w:ascii="Verdana" w:hAnsi="Verdana"/>
                <w:sz w:val="20"/>
                <w:szCs w:val="20"/>
              </w:rPr>
              <w:t xml:space="preserve"> workshops are facilitated to enable </w:t>
            </w:r>
            <w:r w:rsidR="2DD4E9D5" w:rsidRPr="0FE78FCB">
              <w:rPr>
                <w:rFonts w:ascii="Verdana" w:hAnsi="Verdana"/>
                <w:sz w:val="20"/>
                <w:szCs w:val="20"/>
              </w:rPr>
              <w:t>DPPs (Designated Prescribing Practitioner)</w:t>
            </w:r>
            <w:r w:rsidRPr="0FE78FCB">
              <w:rPr>
                <w:rFonts w:ascii="Verdana" w:hAnsi="Verdana"/>
                <w:sz w:val="20"/>
                <w:szCs w:val="20"/>
              </w:rPr>
              <w:t xml:space="preserve"> to be </w:t>
            </w:r>
            <w:proofErr w:type="gramStart"/>
            <w:r w:rsidRPr="0FE78FCB">
              <w:rPr>
                <w:rFonts w:ascii="Verdana" w:hAnsi="Verdana"/>
                <w:sz w:val="20"/>
                <w:szCs w:val="20"/>
              </w:rPr>
              <w:t>up-to-date</w:t>
            </w:r>
            <w:proofErr w:type="gramEnd"/>
            <w:r w:rsidRPr="0FE78FCB">
              <w:rPr>
                <w:rFonts w:ascii="Verdana" w:hAnsi="Verdana"/>
                <w:sz w:val="20"/>
                <w:szCs w:val="20"/>
              </w:rPr>
              <w:t xml:space="preserve"> with the programme learning outcomes and requirements for assessment.  DPPs have access to a </w:t>
            </w:r>
            <w:proofErr w:type="spellStart"/>
            <w:r w:rsidRPr="0FE78FCB">
              <w:rPr>
                <w:rFonts w:ascii="Verdana" w:hAnsi="Verdana"/>
                <w:sz w:val="20"/>
                <w:szCs w:val="20"/>
              </w:rPr>
              <w:t>webfolio</w:t>
            </w:r>
            <w:proofErr w:type="spellEnd"/>
            <w:r w:rsidRPr="0FE78FCB">
              <w:rPr>
                <w:rFonts w:ascii="Verdana" w:hAnsi="Verdana"/>
                <w:sz w:val="20"/>
                <w:szCs w:val="20"/>
              </w:rPr>
              <w:t xml:space="preserve"> of information and guidance</w:t>
            </w:r>
            <w:r w:rsidR="7F24FABA" w:rsidRPr="0FE78FCB">
              <w:rPr>
                <w:rFonts w:ascii="Verdana" w:hAnsi="Verdana"/>
                <w:sz w:val="20"/>
                <w:szCs w:val="20"/>
              </w:rPr>
              <w:t>, as well as e-learning resources</w:t>
            </w:r>
            <w:r w:rsidRPr="0FE78FCB">
              <w:rPr>
                <w:rFonts w:ascii="Verdana" w:hAnsi="Verdana"/>
                <w:sz w:val="20"/>
                <w:szCs w:val="20"/>
              </w:rPr>
              <w:t xml:space="preserve">. The Personal Tutor as well as Programme Leads are available to support both you and your DPP in the learning and assessment process in practice. </w:t>
            </w:r>
          </w:p>
          <w:p w14:paraId="1D0860FA" w14:textId="42E571B4" w:rsidR="007A20D0" w:rsidRPr="0079162E" w:rsidRDefault="007A20D0" w:rsidP="004D667C">
            <w:pPr>
              <w:spacing w:before="120" w:after="120"/>
              <w:rPr>
                <w:rFonts w:ascii="Verdana" w:hAnsi="Verdana"/>
                <w:sz w:val="20"/>
                <w:szCs w:val="20"/>
              </w:rPr>
            </w:pPr>
            <w:r w:rsidRPr="0FE78FCB">
              <w:rPr>
                <w:rFonts w:ascii="Verdana" w:hAnsi="Verdana"/>
                <w:sz w:val="20"/>
                <w:szCs w:val="20"/>
              </w:rPr>
              <w:t xml:space="preserve">You will be encouraged to consider the perspectives of patients, service users and carers, as an integral part of the programme thus also facilitating the implementation of learning in practice in ways that improve clinical outcomes for patients and quality of experience </w:t>
            </w:r>
            <w:proofErr w:type="gramStart"/>
            <w:r w:rsidRPr="0FE78FCB">
              <w:rPr>
                <w:rFonts w:ascii="Verdana" w:hAnsi="Verdana"/>
                <w:sz w:val="20"/>
                <w:szCs w:val="20"/>
              </w:rPr>
              <w:t>as a consequence of</w:t>
            </w:r>
            <w:proofErr w:type="gramEnd"/>
            <w:r w:rsidRPr="0FE78FCB">
              <w:rPr>
                <w:rFonts w:ascii="Verdana" w:hAnsi="Verdana"/>
                <w:sz w:val="20"/>
                <w:szCs w:val="20"/>
              </w:rPr>
              <w:t xml:space="preserve"> your prescribing role. Although as a pharmacist prescriber in training you cannot </w:t>
            </w:r>
            <w:r w:rsidR="186F232E" w:rsidRPr="0FE78FCB">
              <w:rPr>
                <w:rFonts w:ascii="Verdana" w:hAnsi="Verdana"/>
                <w:sz w:val="20"/>
                <w:szCs w:val="20"/>
              </w:rPr>
              <w:t>prescribe</w:t>
            </w:r>
            <w:r w:rsidRPr="0FE78FCB">
              <w:rPr>
                <w:rFonts w:ascii="Verdana" w:hAnsi="Verdana"/>
                <w:sz w:val="20"/>
                <w:szCs w:val="20"/>
              </w:rPr>
              <w:t xml:space="preserve"> whilst on the programme, you and your DPP </w:t>
            </w:r>
            <w:proofErr w:type="gramStart"/>
            <w:r w:rsidRPr="0FE78FCB">
              <w:rPr>
                <w:rFonts w:ascii="Verdana" w:hAnsi="Verdana"/>
                <w:sz w:val="20"/>
                <w:szCs w:val="20"/>
              </w:rPr>
              <w:t>have the opportunity to</w:t>
            </w:r>
            <w:proofErr w:type="gramEnd"/>
            <w:r w:rsidRPr="0FE78FCB">
              <w:rPr>
                <w:rFonts w:ascii="Verdana" w:hAnsi="Verdana"/>
                <w:sz w:val="20"/>
                <w:szCs w:val="20"/>
              </w:rPr>
              <w:t xml:space="preserve"> involve patients, service users and carers by considering their responses and seeking their opinions during your supervised learning in practice and in the context of clinical practice. In addition, patient, service user and carer perspectives are embedded in the programme delivery by drawing on the relevant literature, and experiences of healthcare delivery in the student group.</w:t>
            </w:r>
          </w:p>
          <w:p w14:paraId="657D1635" w14:textId="77777777" w:rsidR="007A20D0" w:rsidRPr="0079162E" w:rsidRDefault="007A20D0" w:rsidP="004D667C">
            <w:pPr>
              <w:spacing w:before="120" w:after="120"/>
              <w:rPr>
                <w:rFonts w:ascii="Verdana" w:hAnsi="Verdana"/>
                <w:sz w:val="20"/>
                <w:szCs w:val="20"/>
              </w:rPr>
            </w:pPr>
            <w:r w:rsidRPr="0079162E">
              <w:rPr>
                <w:rFonts w:ascii="Verdana" w:hAnsi="Verdana"/>
                <w:sz w:val="20"/>
                <w:szCs w:val="20"/>
              </w:rPr>
              <w:t>In summary therefore, the acquisition of knowledge and understanding on the programme is through a combination of the following:</w:t>
            </w:r>
          </w:p>
          <w:p w14:paraId="0AC9E2B9" w14:textId="77777777" w:rsidR="007A20D0" w:rsidRPr="0079162E" w:rsidRDefault="007A20D0" w:rsidP="004D667C">
            <w:pPr>
              <w:numPr>
                <w:ilvl w:val="0"/>
                <w:numId w:val="28"/>
              </w:numPr>
              <w:spacing w:before="120" w:after="120"/>
              <w:rPr>
                <w:rFonts w:ascii="Verdana" w:hAnsi="Verdana"/>
                <w:sz w:val="20"/>
                <w:szCs w:val="20"/>
              </w:rPr>
            </w:pPr>
            <w:r w:rsidRPr="0079162E">
              <w:rPr>
                <w:rFonts w:ascii="Verdana" w:hAnsi="Verdana"/>
                <w:sz w:val="20"/>
                <w:szCs w:val="20"/>
              </w:rPr>
              <w:t>Use of virtual electronic learning environment</w:t>
            </w:r>
          </w:p>
          <w:p w14:paraId="7E0B8328" w14:textId="77777777" w:rsidR="007A20D0" w:rsidRPr="0079162E" w:rsidRDefault="007A20D0" w:rsidP="004D667C">
            <w:pPr>
              <w:numPr>
                <w:ilvl w:val="0"/>
                <w:numId w:val="28"/>
              </w:numPr>
              <w:spacing w:before="120" w:after="120"/>
              <w:rPr>
                <w:rFonts w:ascii="Verdana" w:hAnsi="Verdana"/>
                <w:sz w:val="20"/>
                <w:szCs w:val="20"/>
              </w:rPr>
            </w:pPr>
            <w:r w:rsidRPr="0079162E">
              <w:rPr>
                <w:rFonts w:ascii="Verdana" w:hAnsi="Verdana"/>
                <w:sz w:val="20"/>
                <w:szCs w:val="20"/>
              </w:rPr>
              <w:t>Lectures</w:t>
            </w:r>
          </w:p>
          <w:p w14:paraId="1AB39F54" w14:textId="77777777" w:rsidR="007A20D0" w:rsidRPr="0079162E" w:rsidRDefault="007A20D0" w:rsidP="004D667C">
            <w:pPr>
              <w:numPr>
                <w:ilvl w:val="0"/>
                <w:numId w:val="28"/>
              </w:numPr>
              <w:spacing w:before="120" w:after="120"/>
              <w:rPr>
                <w:rFonts w:ascii="Verdana" w:hAnsi="Verdana"/>
                <w:sz w:val="20"/>
                <w:szCs w:val="20"/>
              </w:rPr>
            </w:pPr>
            <w:r w:rsidRPr="0079162E">
              <w:rPr>
                <w:rFonts w:ascii="Verdana" w:hAnsi="Verdana"/>
                <w:sz w:val="20"/>
                <w:szCs w:val="20"/>
              </w:rPr>
              <w:t>Facilitated discussion and debate – online and classroom based</w:t>
            </w:r>
          </w:p>
          <w:p w14:paraId="77F40E7D" w14:textId="77777777" w:rsidR="007A20D0" w:rsidRPr="0079162E" w:rsidRDefault="007A20D0" w:rsidP="004D667C">
            <w:pPr>
              <w:numPr>
                <w:ilvl w:val="0"/>
                <w:numId w:val="28"/>
              </w:numPr>
              <w:spacing w:before="120" w:after="120"/>
              <w:rPr>
                <w:rFonts w:ascii="Verdana" w:hAnsi="Verdana"/>
                <w:sz w:val="20"/>
                <w:szCs w:val="20"/>
              </w:rPr>
            </w:pPr>
            <w:r w:rsidRPr="0079162E">
              <w:rPr>
                <w:rFonts w:ascii="Verdana" w:hAnsi="Verdana"/>
                <w:sz w:val="20"/>
                <w:szCs w:val="20"/>
              </w:rPr>
              <w:t>Individual and group presentations</w:t>
            </w:r>
          </w:p>
          <w:p w14:paraId="68DCBB5B" w14:textId="77777777" w:rsidR="007A20D0" w:rsidRPr="0079162E" w:rsidRDefault="007A20D0" w:rsidP="004D667C">
            <w:pPr>
              <w:numPr>
                <w:ilvl w:val="0"/>
                <w:numId w:val="28"/>
              </w:numPr>
              <w:spacing w:before="120" w:after="120"/>
              <w:rPr>
                <w:rFonts w:ascii="Verdana" w:hAnsi="Verdana"/>
                <w:sz w:val="20"/>
                <w:szCs w:val="20"/>
              </w:rPr>
            </w:pPr>
            <w:r w:rsidRPr="0079162E">
              <w:rPr>
                <w:rFonts w:ascii="Verdana" w:hAnsi="Verdana"/>
                <w:sz w:val="20"/>
                <w:szCs w:val="20"/>
              </w:rPr>
              <w:t>Tutorials</w:t>
            </w:r>
          </w:p>
          <w:p w14:paraId="770C8C43" w14:textId="77777777" w:rsidR="007A20D0" w:rsidRPr="0079162E" w:rsidRDefault="007A20D0" w:rsidP="004D667C">
            <w:pPr>
              <w:numPr>
                <w:ilvl w:val="0"/>
                <w:numId w:val="28"/>
              </w:numPr>
              <w:spacing w:before="120" w:after="120"/>
              <w:rPr>
                <w:rFonts w:ascii="Verdana" w:hAnsi="Verdana"/>
                <w:sz w:val="20"/>
                <w:szCs w:val="20"/>
              </w:rPr>
            </w:pPr>
            <w:r w:rsidRPr="0079162E">
              <w:rPr>
                <w:rFonts w:ascii="Verdana" w:hAnsi="Verdana"/>
                <w:sz w:val="20"/>
                <w:szCs w:val="20"/>
              </w:rPr>
              <w:t xml:space="preserve">Guided and independent study and reading </w:t>
            </w:r>
          </w:p>
          <w:p w14:paraId="376DF05C" w14:textId="77777777" w:rsidR="007A20D0" w:rsidRPr="0079162E" w:rsidRDefault="007A20D0" w:rsidP="004D667C">
            <w:pPr>
              <w:numPr>
                <w:ilvl w:val="0"/>
                <w:numId w:val="28"/>
              </w:numPr>
              <w:spacing w:before="120" w:after="120"/>
              <w:rPr>
                <w:rFonts w:ascii="Verdana" w:hAnsi="Verdana"/>
                <w:sz w:val="20"/>
                <w:szCs w:val="20"/>
              </w:rPr>
            </w:pPr>
            <w:r w:rsidRPr="0079162E">
              <w:rPr>
                <w:rFonts w:ascii="Verdana" w:hAnsi="Verdana"/>
                <w:sz w:val="20"/>
                <w:szCs w:val="20"/>
              </w:rPr>
              <w:t>Reflection on professional and inter-professional working</w:t>
            </w:r>
          </w:p>
          <w:p w14:paraId="0FAAC361" w14:textId="77777777" w:rsidR="007A20D0" w:rsidRPr="0079162E" w:rsidRDefault="007A20D0" w:rsidP="004D667C">
            <w:pPr>
              <w:numPr>
                <w:ilvl w:val="0"/>
                <w:numId w:val="28"/>
              </w:numPr>
              <w:spacing w:before="120" w:after="120"/>
              <w:rPr>
                <w:rFonts w:ascii="Verdana" w:hAnsi="Verdana"/>
                <w:sz w:val="20"/>
                <w:szCs w:val="20"/>
              </w:rPr>
            </w:pPr>
            <w:r w:rsidRPr="0079162E">
              <w:rPr>
                <w:rFonts w:ascii="Verdana" w:hAnsi="Verdana"/>
                <w:sz w:val="20"/>
                <w:szCs w:val="20"/>
              </w:rPr>
              <w:t>Learning in practice</w:t>
            </w:r>
          </w:p>
          <w:p w14:paraId="44D79E0F" w14:textId="1DBFCDC0" w:rsidR="006B34D2" w:rsidRPr="00EC2A90" w:rsidRDefault="007A20D0" w:rsidP="004D667C">
            <w:pPr>
              <w:numPr>
                <w:ilvl w:val="0"/>
                <w:numId w:val="28"/>
              </w:numPr>
              <w:spacing w:before="120" w:after="120"/>
              <w:rPr>
                <w:rFonts w:ascii="Verdana" w:hAnsi="Verdana"/>
                <w:sz w:val="20"/>
                <w:szCs w:val="20"/>
              </w:rPr>
            </w:pPr>
            <w:r w:rsidRPr="0079162E">
              <w:rPr>
                <w:rFonts w:ascii="Verdana" w:hAnsi="Verdana"/>
                <w:sz w:val="20"/>
                <w:szCs w:val="20"/>
              </w:rPr>
              <w:t>Involvement in partnership working with patients/clients and carers.</w:t>
            </w:r>
          </w:p>
          <w:p w14:paraId="1ED76F2E" w14:textId="77777777" w:rsidR="006B34D2" w:rsidRPr="00877822" w:rsidRDefault="006B34D2" w:rsidP="004D667C">
            <w:pPr>
              <w:spacing w:before="120" w:after="120"/>
              <w:rPr>
                <w:rFonts w:ascii="Verdana" w:hAnsi="Verdana"/>
                <w:b/>
                <w:sz w:val="20"/>
                <w:szCs w:val="20"/>
              </w:rPr>
            </w:pPr>
            <w:r w:rsidRPr="00877822">
              <w:rPr>
                <w:rFonts w:ascii="Verdana" w:hAnsi="Verdana"/>
                <w:b/>
                <w:sz w:val="20"/>
                <w:szCs w:val="20"/>
              </w:rPr>
              <w:t>Summative and Formative Assessment</w:t>
            </w:r>
          </w:p>
          <w:p w14:paraId="117E368A" w14:textId="77777777" w:rsidR="00110F0A" w:rsidRPr="00110F0A" w:rsidRDefault="00110F0A" w:rsidP="004D667C">
            <w:pPr>
              <w:spacing w:before="120" w:after="120"/>
              <w:rPr>
                <w:rFonts w:ascii="Verdana" w:hAnsi="Verdana"/>
                <w:sz w:val="20"/>
                <w:szCs w:val="20"/>
              </w:rPr>
            </w:pPr>
            <w:r w:rsidRPr="00110F0A">
              <w:rPr>
                <w:rFonts w:ascii="Verdana" w:hAnsi="Verdana"/>
                <w:sz w:val="20"/>
                <w:szCs w:val="20"/>
              </w:rPr>
              <w:t>Summative assessment methods used within the programme to enable you to demonstrate achievement of the knowledge, understanding and competence in practice as a pharmacist independent prescriber (</w:t>
            </w:r>
            <w:proofErr w:type="spellStart"/>
            <w:r w:rsidRPr="00110F0A">
              <w:rPr>
                <w:rFonts w:ascii="Verdana" w:hAnsi="Verdana"/>
                <w:sz w:val="20"/>
                <w:szCs w:val="20"/>
              </w:rPr>
              <w:t>GPhC</w:t>
            </w:r>
            <w:proofErr w:type="spellEnd"/>
            <w:r w:rsidRPr="00110F0A">
              <w:rPr>
                <w:rFonts w:ascii="Verdana" w:hAnsi="Verdana"/>
                <w:sz w:val="20"/>
                <w:szCs w:val="20"/>
              </w:rPr>
              <w:t>, 2019). The assessments will require presentation of the following:</w:t>
            </w:r>
          </w:p>
          <w:p w14:paraId="31FEF6D8" w14:textId="6CBD8B7B" w:rsidR="00110F0A" w:rsidRPr="00110F0A" w:rsidRDefault="00110F0A" w:rsidP="004D667C">
            <w:pPr>
              <w:numPr>
                <w:ilvl w:val="0"/>
                <w:numId w:val="28"/>
              </w:numPr>
              <w:spacing w:before="120" w:after="120"/>
              <w:rPr>
                <w:rFonts w:ascii="Verdana" w:hAnsi="Verdana"/>
                <w:sz w:val="20"/>
                <w:szCs w:val="20"/>
              </w:rPr>
            </w:pPr>
            <w:r w:rsidRPr="41946986">
              <w:rPr>
                <w:rFonts w:ascii="Verdana" w:hAnsi="Verdana"/>
                <w:sz w:val="20"/>
                <w:szCs w:val="20"/>
              </w:rPr>
              <w:t>A practical skills assessment which involves the completion of a record of learning and the demonstration of competence in competencies identified for prescribers (RPS, 20</w:t>
            </w:r>
            <w:r w:rsidR="70E53760" w:rsidRPr="41946986">
              <w:rPr>
                <w:rFonts w:ascii="Verdana" w:hAnsi="Verdana"/>
                <w:sz w:val="20"/>
                <w:szCs w:val="20"/>
              </w:rPr>
              <w:t>21</w:t>
            </w:r>
            <w:r w:rsidRPr="41946986">
              <w:rPr>
                <w:rFonts w:ascii="Verdana" w:hAnsi="Verdana"/>
                <w:sz w:val="20"/>
                <w:szCs w:val="20"/>
              </w:rPr>
              <w:t xml:space="preserve">). This assessment is undertaken by your DPP and takes place in the context of your clinical </w:t>
            </w:r>
            <w:proofErr w:type="gramStart"/>
            <w:r w:rsidRPr="41946986">
              <w:rPr>
                <w:rFonts w:ascii="Verdana" w:hAnsi="Verdana"/>
                <w:sz w:val="20"/>
                <w:szCs w:val="20"/>
              </w:rPr>
              <w:t>practice;</w:t>
            </w:r>
            <w:proofErr w:type="gramEnd"/>
          </w:p>
          <w:p w14:paraId="0AE48588" w14:textId="7BE375C3" w:rsidR="009D0C21" w:rsidRPr="00D156B8" w:rsidRDefault="009D0C21" w:rsidP="004D667C">
            <w:pPr>
              <w:numPr>
                <w:ilvl w:val="0"/>
                <w:numId w:val="28"/>
              </w:numPr>
              <w:spacing w:before="120" w:after="120"/>
              <w:rPr>
                <w:rFonts w:ascii="Verdana" w:hAnsi="Verdana"/>
                <w:sz w:val="20"/>
                <w:szCs w:val="20"/>
              </w:rPr>
            </w:pPr>
            <w:r w:rsidRPr="00D156B8">
              <w:rPr>
                <w:rFonts w:ascii="Verdana" w:hAnsi="Verdana"/>
                <w:sz w:val="20"/>
                <w:szCs w:val="20"/>
              </w:rPr>
              <w:t>The set exercise consists of practical demonstration of prescribing skills through a direct observation of practical skills and viva voce assessment of prescribing skills. This assessment in undertaken in the context of the quality assurance processes of the University.</w:t>
            </w:r>
          </w:p>
          <w:p w14:paraId="34F70527" w14:textId="266DAE90" w:rsidR="00110F0A" w:rsidRPr="00110F0A" w:rsidRDefault="00110F0A" w:rsidP="004D667C">
            <w:pPr>
              <w:numPr>
                <w:ilvl w:val="0"/>
                <w:numId w:val="28"/>
              </w:numPr>
              <w:spacing w:before="120" w:after="120"/>
              <w:rPr>
                <w:rFonts w:ascii="Verdana" w:hAnsi="Verdana"/>
                <w:sz w:val="20"/>
                <w:szCs w:val="20"/>
              </w:rPr>
            </w:pPr>
            <w:r>
              <w:rPr>
                <w:rFonts w:ascii="Verdana" w:hAnsi="Verdana"/>
                <w:sz w:val="20"/>
                <w:szCs w:val="20"/>
              </w:rPr>
              <w:t>A</w:t>
            </w:r>
            <w:r w:rsidRPr="00110F0A">
              <w:rPr>
                <w:rFonts w:ascii="Verdana" w:hAnsi="Verdana"/>
                <w:sz w:val="20"/>
                <w:szCs w:val="20"/>
              </w:rPr>
              <w:t xml:space="preserve"> portfolio. The written portfolio requires the demonstration of knowledge and understanding applied to the practice area for each of the Learning Outcomes. </w:t>
            </w:r>
          </w:p>
          <w:p w14:paraId="038D71ED" w14:textId="77777777" w:rsidR="00110F0A" w:rsidRPr="00110F0A" w:rsidRDefault="00110F0A" w:rsidP="004D667C">
            <w:pPr>
              <w:spacing w:before="120" w:after="120"/>
              <w:rPr>
                <w:rFonts w:ascii="Verdana" w:hAnsi="Verdana"/>
                <w:sz w:val="20"/>
                <w:szCs w:val="20"/>
              </w:rPr>
            </w:pPr>
            <w:r w:rsidRPr="00110F0A">
              <w:rPr>
                <w:rFonts w:ascii="Verdana" w:hAnsi="Verdana"/>
                <w:sz w:val="20"/>
                <w:szCs w:val="20"/>
              </w:rPr>
              <w:lastRenderedPageBreak/>
              <w:t>Formative assessment is an important feature within the programme.  Gibbs (1999) advocates the notion of formative assessment being a shared experience, with a “social dimension”, arguing that it facilitates students’ ability to make judgements about the quality of work and to take responsibility for their own development and learning, responding to constructive feedback.</w:t>
            </w:r>
          </w:p>
          <w:p w14:paraId="645852E2" w14:textId="77777777" w:rsidR="00110F0A" w:rsidRPr="00110F0A" w:rsidRDefault="00110F0A" w:rsidP="004D667C">
            <w:pPr>
              <w:spacing w:before="120" w:after="120"/>
              <w:rPr>
                <w:rFonts w:ascii="Verdana" w:hAnsi="Verdana"/>
                <w:sz w:val="20"/>
                <w:szCs w:val="20"/>
              </w:rPr>
            </w:pPr>
            <w:r w:rsidRPr="00110F0A">
              <w:rPr>
                <w:rFonts w:ascii="Verdana" w:hAnsi="Verdana"/>
                <w:sz w:val="20"/>
                <w:szCs w:val="20"/>
              </w:rPr>
              <w:t xml:space="preserve">Formative work comprises work that informs or becomes part of the summative </w:t>
            </w:r>
            <w:proofErr w:type="gramStart"/>
            <w:r w:rsidRPr="00110F0A">
              <w:rPr>
                <w:rFonts w:ascii="Verdana" w:hAnsi="Verdana"/>
                <w:sz w:val="20"/>
                <w:szCs w:val="20"/>
              </w:rPr>
              <w:t>assessment, and</w:t>
            </w:r>
            <w:proofErr w:type="gramEnd"/>
            <w:r w:rsidRPr="00110F0A">
              <w:rPr>
                <w:rFonts w:ascii="Verdana" w:hAnsi="Verdana"/>
                <w:sz w:val="20"/>
                <w:szCs w:val="20"/>
              </w:rPr>
              <w:t xml:space="preserve"> may include in</w:t>
            </w:r>
            <w:r w:rsidRPr="00110F0A">
              <w:rPr>
                <w:rFonts w:ascii="Cambria Math" w:hAnsi="Cambria Math" w:cs="Cambria Math"/>
                <w:sz w:val="20"/>
                <w:szCs w:val="20"/>
              </w:rPr>
              <w:t>‐</w:t>
            </w:r>
            <w:r w:rsidRPr="00110F0A">
              <w:rPr>
                <w:rFonts w:ascii="Verdana" w:hAnsi="Verdana"/>
                <w:sz w:val="20"/>
                <w:szCs w:val="20"/>
              </w:rPr>
              <w:t>class or on</w:t>
            </w:r>
            <w:r w:rsidRPr="00110F0A">
              <w:rPr>
                <w:rFonts w:ascii="Cambria Math" w:hAnsi="Cambria Math" w:cs="Cambria Math"/>
                <w:sz w:val="20"/>
                <w:szCs w:val="20"/>
              </w:rPr>
              <w:t>‐</w:t>
            </w:r>
            <w:r w:rsidRPr="00110F0A">
              <w:rPr>
                <w:rFonts w:ascii="Verdana" w:hAnsi="Verdana"/>
                <w:sz w:val="20"/>
                <w:szCs w:val="20"/>
              </w:rPr>
              <w:t>line activities such as presenting draft assignments, work in progress, or writing prescriptions. Peer and self</w:t>
            </w:r>
            <w:r w:rsidRPr="00110F0A">
              <w:rPr>
                <w:rFonts w:ascii="Cambria Math" w:hAnsi="Cambria Math" w:cs="Cambria Math"/>
                <w:sz w:val="20"/>
                <w:szCs w:val="20"/>
              </w:rPr>
              <w:t>‐</w:t>
            </w:r>
            <w:r w:rsidRPr="00110F0A">
              <w:rPr>
                <w:rFonts w:ascii="Verdana" w:hAnsi="Verdana"/>
                <w:sz w:val="20"/>
                <w:szCs w:val="20"/>
              </w:rPr>
              <w:t>assessment are also used to give you timely feedback on formative tasks (University of Cumbria current Guidelines for Good Assessment Practice). The use of a portfolio within the programme particularly promotes developmental learning and assessment, and, as such, its development is scheduled throughout the programme so that formative, constructive comment can be provided by peer feedback in addition to that of the programme team and specifically, from the Personal Tutor.</w:t>
            </w:r>
          </w:p>
          <w:p w14:paraId="2B709460" w14:textId="77777777" w:rsidR="00110F0A" w:rsidRPr="00110F0A" w:rsidRDefault="00110F0A" w:rsidP="004D667C">
            <w:pPr>
              <w:spacing w:before="120" w:after="120"/>
              <w:rPr>
                <w:rFonts w:ascii="Verdana" w:hAnsi="Verdana"/>
                <w:sz w:val="20"/>
                <w:szCs w:val="20"/>
              </w:rPr>
            </w:pPr>
            <w:r w:rsidRPr="00110F0A">
              <w:rPr>
                <w:rFonts w:ascii="Verdana" w:hAnsi="Verdana"/>
                <w:sz w:val="20"/>
                <w:szCs w:val="20"/>
              </w:rPr>
              <w:t xml:space="preserve">As a student, your active participation in formative opportunities is used to generate dialogue and feedback throughout the programme thus supporting your learning and development, and ultimately your successful achievement of the programme. Following formative feedback, you are encouraged to reappraise and redraft your work to reflect your learning from the feedback provided. You are encouraged to use a variety of resources designed to support learning and development for all students </w:t>
            </w:r>
            <w:proofErr w:type="gramStart"/>
            <w:r w:rsidRPr="00110F0A">
              <w:rPr>
                <w:rFonts w:ascii="Verdana" w:hAnsi="Verdana"/>
                <w:sz w:val="20"/>
                <w:szCs w:val="20"/>
              </w:rPr>
              <w:t>of</w:t>
            </w:r>
            <w:proofErr w:type="gramEnd"/>
            <w:r w:rsidRPr="00110F0A">
              <w:rPr>
                <w:rFonts w:ascii="Verdana" w:hAnsi="Verdana"/>
                <w:sz w:val="20"/>
                <w:szCs w:val="20"/>
              </w:rPr>
              <w:t xml:space="preserve"> the University, as well as those specifically designed for use on your programme.</w:t>
            </w:r>
          </w:p>
          <w:p w14:paraId="18F8EC69" w14:textId="77777777" w:rsidR="00110F0A" w:rsidRPr="00110F0A" w:rsidRDefault="00110F0A" w:rsidP="004D667C">
            <w:pPr>
              <w:spacing w:before="120" w:after="120"/>
              <w:rPr>
                <w:rFonts w:ascii="Verdana" w:hAnsi="Verdana"/>
                <w:sz w:val="20"/>
                <w:szCs w:val="20"/>
              </w:rPr>
            </w:pPr>
            <w:r w:rsidRPr="00110F0A">
              <w:rPr>
                <w:rFonts w:ascii="Verdana" w:hAnsi="Verdana"/>
                <w:sz w:val="20"/>
                <w:szCs w:val="20"/>
              </w:rPr>
              <w:t>Learning in practice is supported by an experienced prescribing practitioner (the DPP) who is also engaged in providing formative learning opportunities and feedback.</w:t>
            </w:r>
          </w:p>
          <w:p w14:paraId="2010FBF0" w14:textId="77777777" w:rsidR="00110F0A" w:rsidRPr="00110F0A" w:rsidRDefault="00110F0A" w:rsidP="004D667C">
            <w:pPr>
              <w:spacing w:before="120" w:after="120"/>
              <w:rPr>
                <w:rFonts w:ascii="Verdana" w:hAnsi="Verdana"/>
                <w:b/>
                <w:sz w:val="20"/>
                <w:szCs w:val="20"/>
              </w:rPr>
            </w:pPr>
            <w:r w:rsidRPr="00110F0A">
              <w:rPr>
                <w:rFonts w:ascii="Verdana" w:hAnsi="Verdana"/>
                <w:b/>
                <w:sz w:val="20"/>
                <w:szCs w:val="20"/>
              </w:rPr>
              <w:t>Use of student feedback on your experience of the programme</w:t>
            </w:r>
          </w:p>
          <w:p w14:paraId="469DEF78" w14:textId="77777777" w:rsidR="00110F0A" w:rsidRPr="00110F0A" w:rsidRDefault="00110F0A" w:rsidP="004D667C">
            <w:pPr>
              <w:spacing w:before="120" w:after="120"/>
              <w:rPr>
                <w:rFonts w:ascii="Verdana" w:hAnsi="Verdana"/>
                <w:sz w:val="20"/>
                <w:szCs w:val="20"/>
              </w:rPr>
            </w:pPr>
            <w:r w:rsidRPr="00110F0A">
              <w:rPr>
                <w:rFonts w:ascii="Verdana" w:hAnsi="Verdana"/>
                <w:sz w:val="20"/>
                <w:szCs w:val="20"/>
              </w:rPr>
              <w:t xml:space="preserve">The programme team uses student feedback in the continuing development of the programme, to enhance the experience of learning, </w:t>
            </w:r>
            <w:proofErr w:type="gramStart"/>
            <w:r w:rsidRPr="00110F0A">
              <w:rPr>
                <w:rFonts w:ascii="Verdana" w:hAnsi="Verdana"/>
                <w:sz w:val="20"/>
                <w:szCs w:val="20"/>
              </w:rPr>
              <w:t>teaching</w:t>
            </w:r>
            <w:proofErr w:type="gramEnd"/>
            <w:r w:rsidRPr="00110F0A">
              <w:rPr>
                <w:rFonts w:ascii="Verdana" w:hAnsi="Verdana"/>
                <w:sz w:val="20"/>
                <w:szCs w:val="20"/>
              </w:rPr>
              <w:t xml:space="preserve"> and assessment, and to ensure that the programme remains fit for the preparation of pharmacist prescribers in training to work in the contemporary clinical environment.  Feedback is received through programme evaluations, Programme Partnership meetings </w:t>
            </w:r>
            <w:proofErr w:type="gramStart"/>
            <w:r w:rsidRPr="00110F0A">
              <w:rPr>
                <w:rFonts w:ascii="Verdana" w:hAnsi="Verdana"/>
                <w:sz w:val="20"/>
                <w:szCs w:val="20"/>
              </w:rPr>
              <w:t>and also</w:t>
            </w:r>
            <w:proofErr w:type="gramEnd"/>
            <w:r w:rsidRPr="00110F0A">
              <w:rPr>
                <w:rFonts w:ascii="Verdana" w:hAnsi="Verdana"/>
                <w:sz w:val="20"/>
                <w:szCs w:val="20"/>
              </w:rPr>
              <w:t xml:space="preserve"> the wider network of Non-Medical Prescribing Leads within the north-west.  We recognise the challenges in establishing a Student Academic Representative System for part-time students who are responsible and accountable for busy professional </w:t>
            </w:r>
            <w:proofErr w:type="gramStart"/>
            <w:r w:rsidRPr="00110F0A">
              <w:rPr>
                <w:rFonts w:ascii="Verdana" w:hAnsi="Verdana"/>
                <w:sz w:val="20"/>
                <w:szCs w:val="20"/>
              </w:rPr>
              <w:t>roles, and</w:t>
            </w:r>
            <w:proofErr w:type="gramEnd"/>
            <w:r w:rsidRPr="00110F0A">
              <w:rPr>
                <w:rFonts w:ascii="Verdana" w:hAnsi="Verdana"/>
                <w:sz w:val="20"/>
                <w:szCs w:val="20"/>
              </w:rPr>
              <w:t xml:space="preserve"> have significant personal responsibilities also. Therefore, your feedback shared with tutors informally as well as more formally is valued and used to help us to develop the programme and to offer an optimum learning experience.</w:t>
            </w:r>
          </w:p>
          <w:p w14:paraId="4C2B18E7" w14:textId="514C12AC" w:rsidR="006B34D2" w:rsidRPr="00110F0A" w:rsidRDefault="11A12F0F" w:rsidP="004D667C">
            <w:pPr>
              <w:spacing w:before="120" w:after="120"/>
              <w:rPr>
                <w:rFonts w:ascii="Verdana" w:hAnsi="Verdana"/>
                <w:sz w:val="20"/>
                <w:szCs w:val="20"/>
              </w:rPr>
            </w:pPr>
            <w:r w:rsidRPr="4D69E6E4">
              <w:rPr>
                <w:rFonts w:ascii="Verdana" w:hAnsi="Verdana"/>
                <w:sz w:val="20"/>
                <w:szCs w:val="20"/>
              </w:rPr>
              <w:t>Evaluation</w:t>
            </w:r>
            <w:r w:rsidR="26F7BC9C" w:rsidRPr="4D69E6E4">
              <w:rPr>
                <w:rFonts w:ascii="Verdana" w:hAnsi="Verdana"/>
                <w:sz w:val="20"/>
                <w:szCs w:val="20"/>
              </w:rPr>
              <w:t xml:space="preserve"> provided by students are</w:t>
            </w:r>
            <w:r w:rsidR="3E554160" w:rsidRPr="4D69E6E4">
              <w:rPr>
                <w:rFonts w:ascii="Verdana" w:hAnsi="Verdana"/>
                <w:sz w:val="20"/>
                <w:szCs w:val="20"/>
              </w:rPr>
              <w:t xml:space="preserve"> fed into the Annual Monitoring Report (AMR) for the programme and </w:t>
            </w:r>
            <w:r w:rsidR="79C8A2E1" w:rsidRPr="4D69E6E4">
              <w:rPr>
                <w:rFonts w:ascii="Verdana" w:hAnsi="Verdana"/>
                <w:sz w:val="20"/>
                <w:szCs w:val="20"/>
              </w:rPr>
              <w:t>Institute of Health</w:t>
            </w:r>
            <w:r w:rsidR="3E554160" w:rsidRPr="4D69E6E4">
              <w:rPr>
                <w:rFonts w:ascii="Verdana" w:hAnsi="Verdana"/>
                <w:sz w:val="20"/>
                <w:szCs w:val="20"/>
              </w:rPr>
              <w:t xml:space="preserve">. The experience and recommendations of External Examiners are also used to review the programme and its comparability with similar programmes elsewhere, and to enhance the programme where this is indicated.  </w:t>
            </w:r>
          </w:p>
        </w:tc>
      </w:tr>
    </w:tbl>
    <w:p w14:paraId="62486C05" w14:textId="77777777" w:rsidR="006B34D2" w:rsidRPr="00877822" w:rsidRDefault="006B34D2" w:rsidP="004D667C">
      <w:pPr>
        <w:spacing w:before="120" w:after="12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10456"/>
      </w:tblGrid>
      <w:tr w:rsidR="006B34D2" w14:paraId="5F5D9388" w14:textId="77777777" w:rsidTr="4D69E6E4">
        <w:tc>
          <w:tcPr>
            <w:tcW w:w="10682"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36F490A3" w14:textId="77777777" w:rsidR="006B34D2" w:rsidRDefault="006B34D2" w:rsidP="004D667C">
            <w:pPr>
              <w:spacing w:before="120" w:after="120"/>
              <w:rPr>
                <w:rFonts w:ascii="Verdana" w:hAnsi="Verdana"/>
              </w:rPr>
            </w:pPr>
            <w:bookmarkStart w:id="0" w:name="_Hlk78467710"/>
            <w:r w:rsidRPr="00877822">
              <w:rPr>
                <w:rFonts w:ascii="Verdana" w:hAnsi="Verdana"/>
                <w:b/>
              </w:rPr>
              <w:t>Student Support</w:t>
            </w:r>
          </w:p>
        </w:tc>
      </w:tr>
      <w:tr w:rsidR="006B34D2" w14:paraId="17652CA7" w14:textId="77777777" w:rsidTr="4D69E6E4">
        <w:tc>
          <w:tcPr>
            <w:tcW w:w="10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ABD7" w14:textId="77777777" w:rsidR="006B34D2" w:rsidRDefault="006B34D2" w:rsidP="004D667C">
            <w:pPr>
              <w:spacing w:before="120" w:after="120"/>
              <w:rPr>
                <w:rFonts w:ascii="Verdana" w:hAnsi="Verdana"/>
                <w:sz w:val="20"/>
                <w:szCs w:val="20"/>
              </w:rPr>
            </w:pPr>
            <w:r>
              <w:rPr>
                <w:rFonts w:ascii="Verdana" w:hAnsi="Verdana"/>
                <w:sz w:val="20"/>
                <w:szCs w:val="20"/>
              </w:rPr>
              <w:t>We provide responsive learner support that promotes student success. Our approach to learner support is designed to support achievement and progression, champion inclusivity and accessibility, prepare you for opportunities beyond study, and promote independence and resilience, enabling you to achieve your potential.</w:t>
            </w:r>
          </w:p>
          <w:p w14:paraId="095A0C02" w14:textId="77777777" w:rsidR="006B34D2" w:rsidRDefault="006B34D2" w:rsidP="004D667C">
            <w:pPr>
              <w:spacing w:before="120" w:after="120"/>
              <w:rPr>
                <w:rFonts w:ascii="Verdana" w:hAnsi="Verdana"/>
                <w:sz w:val="20"/>
                <w:szCs w:val="20"/>
              </w:rPr>
            </w:pPr>
            <w:r>
              <w:rPr>
                <w:rFonts w:ascii="Verdana" w:hAnsi="Verdana"/>
                <w:sz w:val="20"/>
                <w:szCs w:val="20"/>
              </w:rPr>
              <w:t xml:space="preserve">As a student </w:t>
            </w:r>
            <w:proofErr w:type="gramStart"/>
            <w:r>
              <w:rPr>
                <w:rFonts w:ascii="Verdana" w:hAnsi="Verdana"/>
                <w:sz w:val="20"/>
                <w:szCs w:val="20"/>
              </w:rPr>
              <w:t>of</w:t>
            </w:r>
            <w:proofErr w:type="gramEnd"/>
            <w:r>
              <w:rPr>
                <w:rFonts w:ascii="Verdana" w:hAnsi="Verdana"/>
                <w:sz w:val="20"/>
                <w:szCs w:val="20"/>
              </w:rPr>
              <w:t xml:space="preserve"> the University of Cumbria, you will be taught by academics and expert practitioners who facilitate learning through structured inquiry. You will be provided with access to high quality academic resources through physical and digital libraries and will be supported to develop skills that enable you to become a critical, reflective, </w:t>
            </w:r>
            <w:proofErr w:type="gramStart"/>
            <w:r>
              <w:rPr>
                <w:rFonts w:ascii="Verdana" w:hAnsi="Verdana"/>
                <w:sz w:val="20"/>
                <w:szCs w:val="20"/>
              </w:rPr>
              <w:t>discerning</w:t>
            </w:r>
            <w:proofErr w:type="gramEnd"/>
            <w:r>
              <w:rPr>
                <w:rFonts w:ascii="Verdana" w:hAnsi="Verdana"/>
                <w:sz w:val="20"/>
                <w:szCs w:val="20"/>
              </w:rPr>
              <w:t xml:space="preserve"> and independent learner and researcher.</w:t>
            </w:r>
          </w:p>
          <w:p w14:paraId="16B76997" w14:textId="14893DAB" w:rsidR="00110F0A" w:rsidRDefault="00110F0A" w:rsidP="004D667C">
            <w:pPr>
              <w:spacing w:before="120" w:after="120"/>
              <w:rPr>
                <w:rFonts w:ascii="Verdana" w:hAnsi="Verdana"/>
                <w:sz w:val="20"/>
                <w:szCs w:val="20"/>
              </w:rPr>
            </w:pPr>
            <w:r w:rsidRPr="00110F0A">
              <w:rPr>
                <w:rFonts w:ascii="Verdana" w:hAnsi="Verdana"/>
                <w:sz w:val="20"/>
                <w:szCs w:val="20"/>
              </w:rPr>
              <w:lastRenderedPageBreak/>
              <w:t xml:space="preserve">We recognise that undertaking this qualification can be a challenging, as well as a rewarding, process.  Pharmacist prescribers in training are highly motivated to succeed with high expectations of their own performance development whilst on programme. You will often be exploring new knowledge from the position of demonstrated clinical competence, and in doing so, may need support to consolidate knowledge, integrate new skills and re-establish your own confidence in practice. </w:t>
            </w:r>
          </w:p>
          <w:p w14:paraId="24BBB8C9" w14:textId="77777777" w:rsidR="006B34D2" w:rsidRDefault="006B34D2" w:rsidP="004D667C">
            <w:pPr>
              <w:spacing w:before="120" w:after="120"/>
              <w:rPr>
                <w:rFonts w:ascii="Verdana" w:hAnsi="Verdana"/>
                <w:b/>
                <w:sz w:val="20"/>
                <w:szCs w:val="20"/>
              </w:rPr>
            </w:pPr>
            <w:r>
              <w:rPr>
                <w:rFonts w:ascii="Verdana" w:hAnsi="Verdana"/>
                <w:b/>
                <w:sz w:val="20"/>
                <w:szCs w:val="20"/>
              </w:rPr>
              <w:t>Induction</w:t>
            </w:r>
          </w:p>
          <w:p w14:paraId="47722208" w14:textId="77777777" w:rsidR="00110F0A" w:rsidRPr="00110F0A" w:rsidRDefault="00110F0A" w:rsidP="004D667C">
            <w:pPr>
              <w:spacing w:before="120" w:after="120"/>
              <w:rPr>
                <w:rFonts w:ascii="Verdana" w:hAnsi="Verdana"/>
                <w:sz w:val="20"/>
                <w:szCs w:val="20"/>
              </w:rPr>
            </w:pPr>
            <w:r w:rsidRPr="00110F0A">
              <w:rPr>
                <w:rFonts w:ascii="Verdana" w:hAnsi="Verdana"/>
                <w:sz w:val="20"/>
                <w:szCs w:val="20"/>
              </w:rPr>
              <w:t xml:space="preserve">You will be offered a well-structured induction programme during which you will be introduced to the programme team and to peers, to university services and support systems as well as to the learning and assessment strategy for the programme. You will be given support and direction to develop confidence and fluency in accessing and using the eLearning technologies supporting learning. Embedded induction input will cover IT network passwords, basic introduction to the University VLE and webmail, library services and electronic resources (ebooks, ejournals, image collections etc). </w:t>
            </w:r>
          </w:p>
          <w:p w14:paraId="1028E15B" w14:textId="5B432D51" w:rsidR="006B34D2" w:rsidRPr="00EC2A90" w:rsidRDefault="009A75E4" w:rsidP="004D667C">
            <w:pPr>
              <w:spacing w:before="120" w:after="120"/>
              <w:rPr>
                <w:rFonts w:ascii="Verdana" w:hAnsi="Verdana"/>
                <w:color w:val="C00000"/>
                <w:sz w:val="20"/>
                <w:szCs w:val="20"/>
              </w:rPr>
            </w:pPr>
            <w:r w:rsidRPr="0FE78FCB">
              <w:rPr>
                <w:rFonts w:ascii="Verdana" w:hAnsi="Verdana"/>
                <w:sz w:val="20"/>
                <w:szCs w:val="20"/>
              </w:rPr>
              <w:t xml:space="preserve">Induction portfolios are available from the New Students </w:t>
            </w:r>
            <w:proofErr w:type="spellStart"/>
            <w:proofErr w:type="gramStart"/>
            <w:r w:rsidRPr="0FE78FCB">
              <w:rPr>
                <w:rFonts w:ascii="Verdana" w:hAnsi="Verdana"/>
                <w:sz w:val="20"/>
                <w:szCs w:val="20"/>
              </w:rPr>
              <w:t>My</w:t>
            </w:r>
            <w:r w:rsidR="6F3004A3" w:rsidRPr="0FE78FCB">
              <w:rPr>
                <w:rFonts w:ascii="Verdana" w:hAnsi="Verdana"/>
                <w:sz w:val="20"/>
                <w:szCs w:val="20"/>
              </w:rPr>
              <w:t>.</w:t>
            </w:r>
            <w:r w:rsidRPr="0FE78FCB">
              <w:rPr>
                <w:rFonts w:ascii="Verdana" w:hAnsi="Verdana"/>
                <w:sz w:val="20"/>
                <w:szCs w:val="20"/>
              </w:rPr>
              <w:t>Cumbria</w:t>
            </w:r>
            <w:proofErr w:type="spellEnd"/>
            <w:proofErr w:type="gramEnd"/>
            <w:r w:rsidRPr="0FE78FCB">
              <w:rPr>
                <w:rFonts w:ascii="Verdana" w:hAnsi="Verdana"/>
                <w:sz w:val="20"/>
                <w:szCs w:val="20"/>
              </w:rPr>
              <w:t xml:space="preserve"> page:</w:t>
            </w:r>
            <w:r w:rsidRPr="0FE78FCB">
              <w:rPr>
                <w:rFonts w:ascii="Verdana" w:hAnsi="Verdana"/>
                <w:color w:val="C00000"/>
                <w:sz w:val="20"/>
                <w:szCs w:val="20"/>
              </w:rPr>
              <w:t xml:space="preserve"> </w:t>
            </w:r>
            <w:hyperlink r:id="rId29">
              <w:r w:rsidRPr="0FE78FCB">
                <w:rPr>
                  <w:rStyle w:val="Hyperlink"/>
                  <w:rFonts w:ascii="Verdana" w:hAnsi="Verdana"/>
                  <w:sz w:val="20"/>
                  <w:szCs w:val="20"/>
                </w:rPr>
                <w:t>https://my.cumbria.ac.uk/Student-Life/New-Students/</w:t>
              </w:r>
            </w:hyperlink>
          </w:p>
          <w:p w14:paraId="0B5A242C" w14:textId="77777777" w:rsidR="006B34D2" w:rsidRDefault="006B34D2" w:rsidP="004D667C">
            <w:pPr>
              <w:spacing w:before="120" w:after="120"/>
              <w:rPr>
                <w:rFonts w:ascii="Verdana" w:hAnsi="Verdana"/>
                <w:b/>
                <w:sz w:val="20"/>
                <w:szCs w:val="20"/>
              </w:rPr>
            </w:pPr>
            <w:r>
              <w:rPr>
                <w:rFonts w:ascii="Verdana" w:hAnsi="Verdana"/>
                <w:b/>
                <w:sz w:val="20"/>
                <w:szCs w:val="20"/>
              </w:rPr>
              <w:t>Personal Tutoring</w:t>
            </w:r>
          </w:p>
          <w:p w14:paraId="1C2A63BC" w14:textId="2BACE918" w:rsidR="006B34D2" w:rsidRDefault="006B34D2" w:rsidP="004D667C">
            <w:pPr>
              <w:spacing w:before="120" w:after="120"/>
              <w:rPr>
                <w:rFonts w:ascii="Verdana" w:hAnsi="Verdana"/>
                <w:sz w:val="20"/>
                <w:szCs w:val="20"/>
              </w:rPr>
            </w:pPr>
            <w:r w:rsidRPr="0FE78FCB">
              <w:rPr>
                <w:rFonts w:ascii="Verdana" w:hAnsi="Verdana"/>
                <w:sz w:val="20"/>
                <w:szCs w:val="20"/>
              </w:rPr>
              <w:t>You will also be allocated a Personal Tutor. Your Personal Tutor will be proactively involved in the delivery of your programme and will have contact with you throughout your time at the University. They will support your learning and development, including through tutorials, Progress Reviews and other support as outlined in the Personal Tutoring Policy.</w:t>
            </w:r>
            <w:r w:rsidR="05310E85" w:rsidRPr="0FE78FCB">
              <w:rPr>
                <w:rFonts w:ascii="Verdana" w:hAnsi="Verdana"/>
                <w:sz w:val="20"/>
                <w:szCs w:val="20"/>
              </w:rPr>
              <w:t xml:space="preserve"> </w:t>
            </w:r>
            <w:r w:rsidR="00110F0A" w:rsidRPr="0FE78FCB">
              <w:rPr>
                <w:rFonts w:ascii="Verdana" w:hAnsi="Verdana"/>
                <w:sz w:val="20"/>
                <w:szCs w:val="20"/>
              </w:rPr>
              <w:t>This can take various forms, depending on what is most reasonably practical for you and your Personal Tutor to ensure timely and effective support of your learning and development</w:t>
            </w:r>
            <w:r w:rsidR="3553C537" w:rsidRPr="0FE78FCB">
              <w:rPr>
                <w:rFonts w:ascii="Verdana" w:hAnsi="Verdana"/>
                <w:sz w:val="20"/>
                <w:szCs w:val="20"/>
              </w:rPr>
              <w:t xml:space="preserve">. </w:t>
            </w:r>
            <w:r w:rsidR="00110F0A" w:rsidRPr="0FE78FCB">
              <w:rPr>
                <w:rFonts w:ascii="Verdana" w:hAnsi="Verdana"/>
                <w:sz w:val="20"/>
                <w:szCs w:val="20"/>
              </w:rPr>
              <w:t>Regular individual</w:t>
            </w:r>
            <w:r w:rsidR="1873DE9B" w:rsidRPr="0FE78FCB">
              <w:rPr>
                <w:rFonts w:ascii="Verdana" w:hAnsi="Verdana"/>
                <w:sz w:val="20"/>
                <w:szCs w:val="20"/>
              </w:rPr>
              <w:t>/G</w:t>
            </w:r>
            <w:r w:rsidR="00110F0A" w:rsidRPr="0FE78FCB">
              <w:rPr>
                <w:rFonts w:ascii="Verdana" w:hAnsi="Verdana"/>
                <w:sz w:val="20"/>
                <w:szCs w:val="20"/>
              </w:rPr>
              <w:t>roup tutorial support is offered in a</w:t>
            </w:r>
            <w:r w:rsidR="7879F816" w:rsidRPr="0FE78FCB">
              <w:rPr>
                <w:rFonts w:ascii="Verdana" w:hAnsi="Verdana"/>
                <w:sz w:val="20"/>
                <w:szCs w:val="20"/>
              </w:rPr>
              <w:t xml:space="preserve"> variety of ways;</w:t>
            </w:r>
            <w:r w:rsidR="00110F0A" w:rsidRPr="0FE78FCB">
              <w:rPr>
                <w:rFonts w:ascii="Verdana" w:hAnsi="Verdana"/>
                <w:sz w:val="20"/>
                <w:szCs w:val="20"/>
              </w:rPr>
              <w:t xml:space="preserve"> group online environment, tutorial support in face-to-face meetings, via telephone, </w:t>
            </w:r>
            <w:proofErr w:type="gramStart"/>
            <w:r w:rsidR="00110F0A" w:rsidRPr="0FE78FCB">
              <w:rPr>
                <w:rFonts w:ascii="Verdana" w:hAnsi="Verdana"/>
                <w:sz w:val="20"/>
                <w:szCs w:val="20"/>
              </w:rPr>
              <w:t>email</w:t>
            </w:r>
            <w:proofErr w:type="gramEnd"/>
            <w:r w:rsidR="00110F0A" w:rsidRPr="0FE78FCB">
              <w:rPr>
                <w:rFonts w:ascii="Verdana" w:hAnsi="Verdana"/>
                <w:sz w:val="20"/>
                <w:szCs w:val="20"/>
              </w:rPr>
              <w:t xml:space="preserve"> and webcam link through the use of </w:t>
            </w:r>
            <w:r w:rsidR="11BAB8B5" w:rsidRPr="0FE78FCB">
              <w:rPr>
                <w:rFonts w:ascii="Verdana" w:hAnsi="Verdana"/>
                <w:sz w:val="20"/>
                <w:szCs w:val="20"/>
              </w:rPr>
              <w:t>TEAMs</w:t>
            </w:r>
            <w:r w:rsidR="00110F0A" w:rsidRPr="0FE78FCB">
              <w:rPr>
                <w:rFonts w:ascii="Verdana" w:hAnsi="Verdana"/>
                <w:sz w:val="20"/>
                <w:szCs w:val="20"/>
              </w:rPr>
              <w:t xml:space="preserve"> can all be utilised.</w:t>
            </w:r>
          </w:p>
          <w:p w14:paraId="2140DC2B" w14:textId="356A4339" w:rsidR="006B34D2" w:rsidRDefault="30060816" w:rsidP="004D667C">
            <w:pPr>
              <w:spacing w:before="120" w:after="120"/>
              <w:rPr>
                <w:rFonts w:ascii="Verdana" w:hAnsi="Verdana"/>
                <w:sz w:val="20"/>
                <w:szCs w:val="20"/>
              </w:rPr>
            </w:pPr>
            <w:r w:rsidRPr="0FE78FCB">
              <w:rPr>
                <w:rFonts w:ascii="Verdana" w:hAnsi="Verdana"/>
                <w:sz w:val="20"/>
                <w:szCs w:val="20"/>
              </w:rPr>
              <w:t xml:space="preserve">Work based learning in practice settings is supported by appropriately qualified and </w:t>
            </w:r>
            <w:r w:rsidR="62A2B8B6" w:rsidRPr="0FE78FCB">
              <w:rPr>
                <w:rFonts w:ascii="Verdana" w:hAnsi="Verdana"/>
                <w:sz w:val="20"/>
                <w:szCs w:val="20"/>
              </w:rPr>
              <w:t xml:space="preserve">experienced </w:t>
            </w:r>
            <w:r w:rsidR="758D1D5A" w:rsidRPr="0FE78FCB">
              <w:rPr>
                <w:rFonts w:ascii="Verdana" w:hAnsi="Verdana"/>
                <w:sz w:val="20"/>
                <w:szCs w:val="20"/>
              </w:rPr>
              <w:t>DPPs</w:t>
            </w:r>
            <w:r w:rsidRPr="0FE78FCB">
              <w:rPr>
                <w:rFonts w:ascii="Verdana" w:hAnsi="Verdana"/>
                <w:sz w:val="20"/>
                <w:szCs w:val="20"/>
              </w:rPr>
              <w:t>, who facilitate and support the underpinning philosophy of contextual learning, and the embedding of employable knowledge and skills within the curriculum.</w:t>
            </w:r>
          </w:p>
          <w:p w14:paraId="504B324A" w14:textId="77777777" w:rsidR="006B34D2" w:rsidRDefault="006B34D2" w:rsidP="004D667C">
            <w:pPr>
              <w:spacing w:before="120" w:after="120"/>
              <w:rPr>
                <w:rFonts w:ascii="Verdana" w:hAnsi="Verdana"/>
                <w:b/>
                <w:sz w:val="20"/>
                <w:szCs w:val="20"/>
              </w:rPr>
            </w:pPr>
            <w:r>
              <w:rPr>
                <w:rFonts w:ascii="Verdana" w:hAnsi="Verdana"/>
                <w:b/>
                <w:sz w:val="20"/>
                <w:szCs w:val="20"/>
              </w:rPr>
              <w:t>Personal Development Planning</w:t>
            </w:r>
          </w:p>
          <w:p w14:paraId="6C7D8F79" w14:textId="01B8FB4B" w:rsidR="00E366D3" w:rsidRPr="00EC2A90" w:rsidRDefault="00B72DE5" w:rsidP="004D667C">
            <w:pPr>
              <w:spacing w:before="120" w:after="120"/>
              <w:rPr>
                <w:rFonts w:ascii="Verdana" w:hAnsi="Verdana"/>
                <w:sz w:val="20"/>
                <w:szCs w:val="20"/>
              </w:rPr>
            </w:pPr>
            <w:r w:rsidRPr="0FE78FCB">
              <w:rPr>
                <w:rFonts w:ascii="Verdana" w:hAnsi="Verdana"/>
                <w:sz w:val="20"/>
                <w:szCs w:val="20"/>
              </w:rPr>
              <w:t>As a pharmacist prescriber in training, you will already have experience of working in a particular clinical area and will be preparing to apply prescribing in different ways and in different healthcare contexts (</w:t>
            </w:r>
            <w:proofErr w:type="spellStart"/>
            <w:r w:rsidRPr="0FE78FCB">
              <w:rPr>
                <w:rFonts w:ascii="Verdana" w:hAnsi="Verdana"/>
                <w:sz w:val="20"/>
                <w:szCs w:val="20"/>
              </w:rPr>
              <w:t>GPhC</w:t>
            </w:r>
            <w:proofErr w:type="spellEnd"/>
            <w:r w:rsidRPr="0FE78FCB">
              <w:rPr>
                <w:rFonts w:ascii="Verdana" w:hAnsi="Verdana"/>
                <w:sz w:val="20"/>
                <w:szCs w:val="20"/>
              </w:rPr>
              <w:t xml:space="preserve">, 2019). Learning agreements will be used to support the identification of your learning needs throughout the </w:t>
            </w:r>
            <w:proofErr w:type="gramStart"/>
            <w:r w:rsidRPr="0FE78FCB">
              <w:rPr>
                <w:rFonts w:ascii="Verdana" w:hAnsi="Verdana"/>
                <w:sz w:val="20"/>
                <w:szCs w:val="20"/>
              </w:rPr>
              <w:t>course, and</w:t>
            </w:r>
            <w:proofErr w:type="gramEnd"/>
            <w:r w:rsidRPr="0FE78FCB">
              <w:rPr>
                <w:rFonts w:ascii="Verdana" w:hAnsi="Verdana"/>
                <w:sz w:val="20"/>
                <w:szCs w:val="20"/>
              </w:rPr>
              <w:t xml:space="preserve"> aimed at the successful demonstration of all Learning Outcomes required for pharmacist prescribers in training. At the point of assessment, you will be required to demonstrate your commitment and preparation for your continuing development as a pharmacist independent prescriber (subject to annotation by the </w:t>
            </w:r>
            <w:proofErr w:type="spellStart"/>
            <w:r w:rsidRPr="0FE78FCB">
              <w:rPr>
                <w:rFonts w:ascii="Verdana" w:hAnsi="Verdana"/>
                <w:sz w:val="20"/>
                <w:szCs w:val="20"/>
              </w:rPr>
              <w:t>GPhC</w:t>
            </w:r>
            <w:proofErr w:type="spellEnd"/>
            <w:r w:rsidRPr="0FE78FCB">
              <w:rPr>
                <w:rFonts w:ascii="Verdana" w:hAnsi="Verdana"/>
                <w:sz w:val="20"/>
                <w:szCs w:val="20"/>
              </w:rPr>
              <w:t xml:space="preserve"> as a pharmacist independent prescriber).</w:t>
            </w:r>
          </w:p>
          <w:p w14:paraId="113F7EC2" w14:textId="74B2052D" w:rsidR="00E26988" w:rsidRPr="00AF748B" w:rsidRDefault="00E26988" w:rsidP="004D667C">
            <w:pPr>
              <w:spacing w:before="120" w:after="120"/>
              <w:rPr>
                <w:rFonts w:ascii="Verdana" w:hAnsi="Verdana"/>
                <w:b/>
                <w:bCs/>
                <w:sz w:val="20"/>
                <w:szCs w:val="20"/>
              </w:rPr>
            </w:pPr>
            <w:r w:rsidRPr="68B66E93">
              <w:rPr>
                <w:rFonts w:ascii="Verdana" w:hAnsi="Verdana"/>
                <w:b/>
                <w:bCs/>
                <w:sz w:val="20"/>
                <w:szCs w:val="20"/>
              </w:rPr>
              <w:t xml:space="preserve">Library Services </w:t>
            </w:r>
            <w:r w:rsidR="007B246C">
              <w:rPr>
                <w:rFonts w:ascii="Verdana" w:hAnsi="Verdana"/>
                <w:b/>
                <w:bCs/>
                <w:sz w:val="20"/>
                <w:szCs w:val="20"/>
              </w:rPr>
              <w:t xml:space="preserve">and </w:t>
            </w:r>
            <w:r w:rsidR="007B246C" w:rsidRPr="007B246C">
              <w:rPr>
                <w:rFonts w:ascii="Verdana" w:hAnsi="Verdana"/>
                <w:b/>
                <w:bCs/>
                <w:sz w:val="20"/>
                <w:szCs w:val="20"/>
              </w:rPr>
              <w:t>Academic Skills</w:t>
            </w:r>
          </w:p>
          <w:p w14:paraId="22A76765" w14:textId="729B37A7" w:rsidR="009A75E4" w:rsidRPr="00151960" w:rsidRDefault="009A75E4" w:rsidP="004D667C">
            <w:pPr>
              <w:pStyle w:val="NormalWeb"/>
              <w:spacing w:before="120" w:after="120" w:line="276" w:lineRule="auto"/>
              <w:rPr>
                <w:rFonts w:ascii="Verdana" w:hAnsi="Verdana"/>
                <w:sz w:val="20"/>
                <w:szCs w:val="20"/>
              </w:rPr>
            </w:pPr>
            <w:r w:rsidRPr="0FE78FCB">
              <w:rPr>
                <w:rFonts w:ascii="Verdana" w:hAnsi="Verdana"/>
                <w:sz w:val="20"/>
                <w:szCs w:val="20"/>
              </w:rPr>
              <w:t xml:space="preserve">The </w:t>
            </w:r>
            <w:r w:rsidR="7D4F8086" w:rsidRPr="0FE78FCB">
              <w:rPr>
                <w:rFonts w:ascii="Verdana" w:hAnsi="Verdana"/>
                <w:sz w:val="20"/>
                <w:szCs w:val="20"/>
              </w:rPr>
              <w:t>library</w:t>
            </w:r>
            <w:r w:rsidRPr="0FE78FCB">
              <w:rPr>
                <w:rFonts w:ascii="Verdana" w:hAnsi="Verdana"/>
                <w:sz w:val="20"/>
                <w:szCs w:val="20"/>
              </w:rPr>
              <w:t xml:space="preserve"> home page can be accessed here: </w:t>
            </w:r>
            <w:hyperlink r:id="rId30">
              <w:r w:rsidRPr="0FE78FCB">
                <w:rPr>
                  <w:rStyle w:val="Hyperlink"/>
                  <w:rFonts w:ascii="Verdana" w:hAnsi="Verdana"/>
                  <w:sz w:val="20"/>
                  <w:szCs w:val="20"/>
                </w:rPr>
                <w:t>https://my.cumbria.ac.uk/Student-Life/Learning</w:t>
              </w:r>
            </w:hyperlink>
            <w:r w:rsidRPr="0FE78FCB">
              <w:rPr>
                <w:rFonts w:ascii="Verdana" w:hAnsi="Verdana"/>
                <w:sz w:val="20"/>
                <w:szCs w:val="20"/>
              </w:rPr>
              <w:t>.</w:t>
            </w:r>
          </w:p>
          <w:p w14:paraId="4BEE9B9D" w14:textId="6A482BA3" w:rsidR="00E26988" w:rsidRPr="00151960" w:rsidRDefault="3E791C05" w:rsidP="004D667C">
            <w:pPr>
              <w:pStyle w:val="NormalWeb"/>
              <w:spacing w:before="120" w:after="120" w:line="276" w:lineRule="auto"/>
              <w:rPr>
                <w:rFonts w:ascii="Verdana" w:hAnsi="Verdana"/>
                <w:sz w:val="20"/>
                <w:szCs w:val="20"/>
              </w:rPr>
            </w:pPr>
            <w:r w:rsidRPr="41946986">
              <w:rPr>
                <w:rFonts w:ascii="Verdana" w:hAnsi="Verdana"/>
                <w:sz w:val="20"/>
                <w:szCs w:val="20"/>
              </w:rPr>
              <w:t>Module leaders will collaborate wi</w:t>
            </w:r>
            <w:r w:rsidR="7EBADBFF" w:rsidRPr="41946986">
              <w:rPr>
                <w:rFonts w:ascii="Verdana" w:hAnsi="Verdana"/>
                <w:sz w:val="20"/>
                <w:szCs w:val="20"/>
              </w:rPr>
              <w:t>th Library Services</w:t>
            </w:r>
            <w:r w:rsidRPr="41946986">
              <w:rPr>
                <w:rFonts w:ascii="Verdana" w:hAnsi="Verdana"/>
                <w:sz w:val="20"/>
                <w:szCs w:val="20"/>
              </w:rPr>
              <w:t xml:space="preserve"> to ensure that your </w:t>
            </w:r>
            <w:r w:rsidR="7EBADBFF" w:rsidRPr="41946986">
              <w:rPr>
                <w:rFonts w:ascii="Verdana" w:hAnsi="Verdana"/>
                <w:sz w:val="20"/>
                <w:szCs w:val="20"/>
              </w:rPr>
              <w:t xml:space="preserve">online </w:t>
            </w:r>
            <w:r w:rsidRPr="41946986">
              <w:rPr>
                <w:rFonts w:ascii="Verdana" w:hAnsi="Verdana"/>
                <w:sz w:val="20"/>
                <w:szCs w:val="20"/>
              </w:rPr>
              <w:t xml:space="preserve">reading and resource lists are </w:t>
            </w:r>
            <w:proofErr w:type="gramStart"/>
            <w:r w:rsidRPr="41946986">
              <w:rPr>
                <w:rFonts w:ascii="Verdana" w:hAnsi="Verdana"/>
                <w:sz w:val="20"/>
                <w:szCs w:val="20"/>
              </w:rPr>
              <w:t>current</w:t>
            </w:r>
            <w:proofErr w:type="gramEnd"/>
            <w:r w:rsidRPr="41946986">
              <w:rPr>
                <w:rFonts w:ascii="Verdana" w:hAnsi="Verdana"/>
                <w:sz w:val="20"/>
                <w:szCs w:val="20"/>
              </w:rPr>
              <w:t xml:space="preserve"> and items are available via the library discovery tool </w:t>
            </w:r>
            <w:proofErr w:type="spellStart"/>
            <w:r w:rsidRPr="41946986">
              <w:rPr>
                <w:rFonts w:ascii="Verdana" w:hAnsi="Verdana"/>
                <w:sz w:val="20"/>
                <w:szCs w:val="20"/>
              </w:rPr>
              <w:t>OneSearch</w:t>
            </w:r>
            <w:proofErr w:type="spellEnd"/>
            <w:r w:rsidRPr="41946986">
              <w:rPr>
                <w:rFonts w:ascii="Verdana" w:hAnsi="Verdana"/>
                <w:sz w:val="20"/>
                <w:szCs w:val="20"/>
              </w:rPr>
              <w:t xml:space="preserve">. </w:t>
            </w:r>
            <w:proofErr w:type="gramStart"/>
            <w:r w:rsidRPr="41946986">
              <w:rPr>
                <w:rFonts w:ascii="Verdana" w:hAnsi="Verdana"/>
                <w:sz w:val="20"/>
                <w:szCs w:val="20"/>
              </w:rPr>
              <w:t>In order to</w:t>
            </w:r>
            <w:proofErr w:type="gramEnd"/>
            <w:r w:rsidRPr="41946986">
              <w:rPr>
                <w:rFonts w:ascii="Verdana" w:hAnsi="Verdana"/>
                <w:sz w:val="20"/>
                <w:szCs w:val="20"/>
              </w:rPr>
              <w:t xml:space="preserve"> maximise access, availability and usefulness, ebooks and electronic journal titles will, in most cases, be prioritised. You can access a wide range of electronic and print content using </w:t>
            </w:r>
            <w:hyperlink r:id="rId31">
              <w:proofErr w:type="spellStart"/>
              <w:r w:rsidRPr="41946986">
                <w:rPr>
                  <w:rStyle w:val="Hyperlink"/>
                  <w:rFonts w:ascii="Verdana" w:hAnsi="Verdana"/>
                  <w:sz w:val="20"/>
                  <w:szCs w:val="20"/>
                </w:rPr>
                <w:t>OneSearch</w:t>
              </w:r>
              <w:proofErr w:type="spellEnd"/>
            </w:hyperlink>
            <w:r w:rsidRPr="41946986">
              <w:rPr>
                <w:rFonts w:ascii="Verdana" w:hAnsi="Verdana"/>
                <w:sz w:val="20"/>
                <w:szCs w:val="20"/>
              </w:rPr>
              <w:t xml:space="preserve"> and you can find out more about key texts, databases and journals for your subject by accessing the library’s </w:t>
            </w:r>
            <w:hyperlink r:id="rId32">
              <w:r w:rsidR="674E9675" w:rsidRPr="41946986">
                <w:rPr>
                  <w:rStyle w:val="Hyperlink"/>
                  <w:rFonts w:ascii="Verdana" w:hAnsi="Verdana"/>
                  <w:sz w:val="20"/>
                  <w:szCs w:val="20"/>
                </w:rPr>
                <w:t>NMP resource</w:t>
              </w:r>
              <w:r w:rsidRPr="41946986">
                <w:rPr>
                  <w:rStyle w:val="Hyperlink"/>
                  <w:rFonts w:ascii="Verdana" w:hAnsi="Verdana"/>
                  <w:sz w:val="20"/>
                  <w:szCs w:val="20"/>
                </w:rPr>
                <w:t xml:space="preserve"> webpages</w:t>
              </w:r>
            </w:hyperlink>
            <w:r w:rsidRPr="41946986">
              <w:rPr>
                <w:rFonts w:ascii="Verdana" w:hAnsi="Verdana"/>
                <w:sz w:val="20"/>
                <w:szCs w:val="20"/>
              </w:rPr>
              <w:t xml:space="preserve">. </w:t>
            </w:r>
            <w:r w:rsidR="3F56AD59" w:rsidRPr="41946986">
              <w:rPr>
                <w:rFonts w:ascii="Verdana" w:hAnsi="Verdana"/>
                <w:sz w:val="20"/>
                <w:szCs w:val="20"/>
              </w:rPr>
              <w:t xml:space="preserve">The </w:t>
            </w:r>
            <w:r w:rsidRPr="41946986">
              <w:rPr>
                <w:rFonts w:ascii="Verdana" w:hAnsi="Verdana"/>
                <w:sz w:val="20"/>
                <w:szCs w:val="20"/>
              </w:rPr>
              <w:t>module</w:t>
            </w:r>
            <w:r w:rsidR="39744917" w:rsidRPr="41946986">
              <w:rPr>
                <w:rFonts w:ascii="Verdana" w:hAnsi="Verdana"/>
                <w:sz w:val="20"/>
                <w:szCs w:val="20"/>
              </w:rPr>
              <w:t>/programme</w:t>
            </w:r>
            <w:r w:rsidRPr="41946986">
              <w:rPr>
                <w:rFonts w:ascii="Verdana" w:hAnsi="Verdana"/>
                <w:sz w:val="20"/>
                <w:szCs w:val="20"/>
              </w:rPr>
              <w:t xml:space="preserve"> </w:t>
            </w:r>
            <w:proofErr w:type="gramStart"/>
            <w:r w:rsidRPr="41946986">
              <w:rPr>
                <w:rFonts w:ascii="Verdana" w:hAnsi="Verdana"/>
                <w:sz w:val="20"/>
                <w:szCs w:val="20"/>
              </w:rPr>
              <w:t>reading</w:t>
            </w:r>
            <w:proofErr w:type="gramEnd"/>
            <w:r w:rsidRPr="41946986">
              <w:rPr>
                <w:rFonts w:ascii="Verdana" w:hAnsi="Verdana"/>
                <w:sz w:val="20"/>
                <w:szCs w:val="20"/>
              </w:rPr>
              <w:t xml:space="preserve"> and resource lists will be made available to you electronically on Blackboard</w:t>
            </w:r>
            <w:r w:rsidR="250FB656" w:rsidRPr="41946986">
              <w:rPr>
                <w:rFonts w:ascii="Verdana" w:hAnsi="Verdana"/>
                <w:sz w:val="20"/>
                <w:szCs w:val="20"/>
              </w:rPr>
              <w:t>.</w:t>
            </w:r>
            <w:r w:rsidRPr="41946986">
              <w:rPr>
                <w:rFonts w:ascii="Verdana" w:hAnsi="Verdana"/>
                <w:sz w:val="20"/>
                <w:szCs w:val="20"/>
              </w:rPr>
              <w:t xml:space="preserve"> </w:t>
            </w:r>
          </w:p>
          <w:p w14:paraId="1BD4A649" w14:textId="23F82264" w:rsidR="00E26988" w:rsidRPr="00151960" w:rsidRDefault="00E26988" w:rsidP="004D667C">
            <w:pPr>
              <w:pStyle w:val="NormalWeb"/>
              <w:spacing w:before="120" w:after="120" w:line="276" w:lineRule="auto"/>
              <w:rPr>
                <w:rFonts w:ascii="Verdana" w:hAnsi="Verdana"/>
                <w:sz w:val="20"/>
                <w:szCs w:val="20"/>
              </w:rPr>
            </w:pPr>
            <w:r w:rsidRPr="00151960">
              <w:rPr>
                <w:rFonts w:ascii="Verdana" w:hAnsi="Verdana"/>
                <w:sz w:val="20"/>
                <w:szCs w:val="20"/>
              </w:rPr>
              <w:lastRenderedPageBreak/>
              <w:t>Each campus library has a dedicated webpage. Check out local information about opening hours,</w:t>
            </w:r>
            <w:r w:rsidR="00DA374A" w:rsidRPr="00151960">
              <w:rPr>
                <w:rFonts w:ascii="Verdana" w:hAnsi="Verdana"/>
                <w:sz w:val="20"/>
                <w:szCs w:val="20"/>
              </w:rPr>
              <w:t xml:space="preserve"> reserving books,</w:t>
            </w:r>
            <w:r w:rsidRPr="00151960">
              <w:rPr>
                <w:rFonts w:ascii="Verdana" w:hAnsi="Verdana"/>
                <w:sz w:val="20"/>
                <w:szCs w:val="20"/>
              </w:rPr>
              <w:t xml:space="preserve"> using self-service kiosks, </w:t>
            </w:r>
            <w:proofErr w:type="gramStart"/>
            <w:r w:rsidRPr="00151960">
              <w:rPr>
                <w:rFonts w:ascii="Verdana" w:hAnsi="Verdana"/>
                <w:sz w:val="20"/>
                <w:szCs w:val="20"/>
              </w:rPr>
              <w:t>printing</w:t>
            </w:r>
            <w:proofErr w:type="gramEnd"/>
            <w:r w:rsidRPr="00151960">
              <w:rPr>
                <w:rFonts w:ascii="Verdana" w:hAnsi="Verdana"/>
                <w:sz w:val="20"/>
                <w:szCs w:val="20"/>
              </w:rPr>
              <w:t xml:space="preserve"> and photocopying, booking study spaces and more. </w:t>
            </w:r>
            <w:hyperlink r:id="rId33" w:history="1">
              <w:r w:rsidRPr="00151960">
                <w:rPr>
                  <w:rStyle w:val="Hyperlink"/>
                  <w:rFonts w:ascii="Verdana" w:hAnsi="Verdana"/>
                  <w:sz w:val="20"/>
                  <w:szCs w:val="20"/>
                </w:rPr>
                <w:t>https://my.cumbria.ac.uk/Student-Life/Learning/Libraries/</w:t>
              </w:r>
            </w:hyperlink>
            <w:r w:rsidRPr="00151960">
              <w:rPr>
                <w:rFonts w:ascii="Verdana" w:hAnsi="Verdana"/>
                <w:sz w:val="20"/>
                <w:szCs w:val="20"/>
              </w:rPr>
              <w:t xml:space="preserve"> </w:t>
            </w:r>
          </w:p>
          <w:p w14:paraId="47FC069A" w14:textId="77777777" w:rsidR="00E26988" w:rsidRPr="00151960" w:rsidRDefault="00E26988" w:rsidP="004D667C">
            <w:pPr>
              <w:pStyle w:val="NormalWeb"/>
              <w:spacing w:before="120" w:after="120" w:line="276" w:lineRule="auto"/>
              <w:rPr>
                <w:rFonts w:ascii="Verdana" w:hAnsi="Verdana"/>
                <w:sz w:val="20"/>
                <w:szCs w:val="20"/>
              </w:rPr>
            </w:pPr>
            <w:r w:rsidRPr="00151960">
              <w:rPr>
                <w:rFonts w:ascii="Verdana" w:hAnsi="Verdana"/>
                <w:sz w:val="20"/>
                <w:szCs w:val="20"/>
              </w:rPr>
              <w:t xml:space="preserve">An </w:t>
            </w:r>
            <w:hyperlink r:id="rId34" w:history="1">
              <w:r w:rsidRPr="00151960">
                <w:rPr>
                  <w:rStyle w:val="Hyperlink"/>
                  <w:rFonts w:ascii="Verdana" w:hAnsi="Verdana"/>
                  <w:sz w:val="20"/>
                  <w:szCs w:val="20"/>
                </w:rPr>
                <w:t>Ask a Librarian</w:t>
              </w:r>
            </w:hyperlink>
            <w:r w:rsidRPr="00151960">
              <w:rPr>
                <w:rFonts w:ascii="Verdana" w:hAnsi="Verdana"/>
                <w:sz w:val="20"/>
                <w:szCs w:val="20"/>
              </w:rPr>
              <w:t xml:space="preserve"> service runs from 17:00 - 09:00 weekdays and round the clock on weekends and holidays. This means you can get professional help using about library services, finding information, </w:t>
            </w:r>
            <w:proofErr w:type="gramStart"/>
            <w:r w:rsidRPr="00151960">
              <w:rPr>
                <w:rFonts w:ascii="Verdana" w:hAnsi="Verdana"/>
                <w:sz w:val="20"/>
                <w:szCs w:val="20"/>
              </w:rPr>
              <w:t>referencing</w:t>
            </w:r>
            <w:proofErr w:type="gramEnd"/>
            <w:r w:rsidRPr="00151960">
              <w:rPr>
                <w:rFonts w:ascii="Verdana" w:hAnsi="Verdana"/>
                <w:sz w:val="20"/>
                <w:szCs w:val="20"/>
              </w:rPr>
              <w:t xml:space="preserve"> and searching, even when the library is closed. </w:t>
            </w:r>
            <w:hyperlink r:id="rId35" w:history="1">
              <w:r w:rsidRPr="00151960">
                <w:rPr>
                  <w:rStyle w:val="Hyperlink"/>
                  <w:rFonts w:ascii="Verdana" w:hAnsi="Verdana"/>
                  <w:sz w:val="20"/>
                  <w:szCs w:val="20"/>
                </w:rPr>
                <w:t>https://my.cumbria.ac.uk/Student-Life/Learning/Libraries/Ask/</w:t>
              </w:r>
            </w:hyperlink>
          </w:p>
          <w:p w14:paraId="2DB79434" w14:textId="4509FD4A" w:rsidR="000653D3" w:rsidRPr="00151960" w:rsidRDefault="00E26988" w:rsidP="004D667C">
            <w:pPr>
              <w:pStyle w:val="NormalWeb"/>
              <w:spacing w:before="120" w:after="120" w:line="276" w:lineRule="auto"/>
              <w:rPr>
                <w:rFonts w:ascii="Verdana" w:hAnsi="Verdana"/>
                <w:sz w:val="20"/>
                <w:szCs w:val="20"/>
              </w:rPr>
            </w:pPr>
            <w:r w:rsidRPr="00151960">
              <w:rPr>
                <w:rFonts w:ascii="Verdana" w:hAnsi="Verdana"/>
                <w:sz w:val="20"/>
                <w:szCs w:val="20"/>
              </w:rPr>
              <w:t xml:space="preserve">The </w:t>
            </w:r>
            <w:hyperlink r:id="rId36" w:history="1">
              <w:proofErr w:type="spellStart"/>
              <w:r w:rsidRPr="00151960">
                <w:rPr>
                  <w:rStyle w:val="Hyperlink"/>
                  <w:rFonts w:ascii="Verdana" w:hAnsi="Verdana"/>
                  <w:sz w:val="20"/>
                  <w:szCs w:val="20"/>
                </w:rPr>
                <w:t>Skills@Cumbria</w:t>
              </w:r>
              <w:proofErr w:type="spellEnd"/>
            </w:hyperlink>
            <w:r w:rsidRPr="00151960">
              <w:rPr>
                <w:rFonts w:ascii="Verdana" w:hAnsi="Verdana"/>
                <w:sz w:val="20"/>
                <w:szCs w:val="20"/>
              </w:rPr>
              <w:t xml:space="preserve"> service</w:t>
            </w:r>
            <w:r w:rsidR="00DA374A" w:rsidRPr="00151960">
              <w:rPr>
                <w:rFonts w:ascii="Verdana" w:hAnsi="Verdana"/>
                <w:sz w:val="20"/>
                <w:szCs w:val="20"/>
              </w:rPr>
              <w:t xml:space="preserve"> can help support your academic, library and digital </w:t>
            </w:r>
            <w:r w:rsidRPr="00151960">
              <w:rPr>
                <w:rFonts w:ascii="Verdana" w:hAnsi="Verdana"/>
                <w:sz w:val="20"/>
                <w:szCs w:val="20"/>
              </w:rPr>
              <w:t xml:space="preserve">skills and success throughout your </w:t>
            </w:r>
            <w:r w:rsidR="00843357" w:rsidRPr="00151960">
              <w:rPr>
                <w:rFonts w:ascii="Verdana" w:hAnsi="Verdana"/>
                <w:sz w:val="20"/>
                <w:szCs w:val="20"/>
              </w:rPr>
              <w:t>programme</w:t>
            </w:r>
            <w:r w:rsidRPr="00151960">
              <w:rPr>
                <w:rFonts w:ascii="Verdana" w:hAnsi="Verdana"/>
                <w:sz w:val="20"/>
                <w:szCs w:val="20"/>
              </w:rPr>
              <w:t xml:space="preserve">. It includes a suite of </w:t>
            </w:r>
            <w:hyperlink r:id="rId37" w:history="1">
              <w:r w:rsidRPr="00151960">
                <w:rPr>
                  <w:rStyle w:val="Hyperlink"/>
                  <w:rFonts w:ascii="Verdana" w:hAnsi="Verdana"/>
                  <w:sz w:val="20"/>
                  <w:szCs w:val="20"/>
                </w:rPr>
                <w:t>online self-help resources</w:t>
              </w:r>
            </w:hyperlink>
            <w:r w:rsidRPr="00151960">
              <w:rPr>
                <w:rFonts w:ascii="Verdana" w:hAnsi="Verdana"/>
                <w:sz w:val="20"/>
                <w:szCs w:val="20"/>
              </w:rPr>
              <w:t xml:space="preserve"> accessible 24/7 via the University’s website and Blackboard site</w:t>
            </w:r>
            <w:r w:rsidR="000653D3" w:rsidRPr="00151960">
              <w:rPr>
                <w:rFonts w:ascii="Verdana" w:hAnsi="Verdana"/>
                <w:sz w:val="20"/>
                <w:szCs w:val="20"/>
              </w:rPr>
              <w:t xml:space="preserve">. </w:t>
            </w:r>
          </w:p>
          <w:p w14:paraId="2B46D41B" w14:textId="0C855A12" w:rsidR="009A75E4" w:rsidRPr="000653D3" w:rsidRDefault="009A75E4" w:rsidP="004D667C">
            <w:pPr>
              <w:pStyle w:val="NormalWeb"/>
              <w:spacing w:before="120" w:after="120" w:line="276" w:lineRule="auto"/>
              <w:rPr>
                <w:rFonts w:ascii="Verdana" w:hAnsi="Verdana"/>
                <w:sz w:val="20"/>
                <w:szCs w:val="20"/>
              </w:rPr>
            </w:pPr>
            <w:r w:rsidRPr="00151960">
              <w:rPr>
                <w:rFonts w:ascii="Verdana" w:eastAsiaTheme="minorHAnsi" w:hAnsi="Verdana" w:cstheme="minorBidi"/>
                <w:color w:val="323130"/>
                <w:spacing w:val="-2"/>
                <w:sz w:val="20"/>
                <w:szCs w:val="20"/>
                <w:shd w:val="clear" w:color="auto" w:fill="FFFFFF"/>
                <w:lang w:eastAsia="en-US"/>
              </w:rPr>
              <w:t xml:space="preserve">The </w:t>
            </w:r>
            <w:hyperlink r:id="rId38" w:tgtFrame="_blank" w:history="1">
              <w:r w:rsidRPr="00151960">
                <w:rPr>
                  <w:rFonts w:ascii="Verdana" w:eastAsiaTheme="minorHAnsi" w:hAnsi="Verdana" w:cstheme="minorBidi"/>
                  <w:color w:val="2275D7"/>
                  <w:spacing w:val="-2"/>
                  <w:sz w:val="20"/>
                  <w:szCs w:val="20"/>
                  <w:u w:val="single"/>
                  <w:shd w:val="clear" w:color="auto" w:fill="FFFFFF"/>
                  <w:lang w:eastAsia="en-US"/>
                </w:rPr>
                <w:t>Student Enquiry Point</w:t>
              </w:r>
            </w:hyperlink>
            <w:r w:rsidRPr="00151960">
              <w:rPr>
                <w:rFonts w:ascii="Verdana" w:eastAsiaTheme="minorHAnsi" w:hAnsi="Verdana" w:cstheme="minorBidi"/>
                <w:color w:val="2275D7"/>
                <w:spacing w:val="-2"/>
                <w:sz w:val="20"/>
                <w:szCs w:val="20"/>
                <w:u w:val="single"/>
                <w:shd w:val="clear" w:color="auto" w:fill="FFFFFF"/>
                <w:lang w:eastAsia="en-US"/>
              </w:rPr>
              <w:t xml:space="preserve"> </w:t>
            </w:r>
            <w:r w:rsidRPr="00151960">
              <w:rPr>
                <w:rFonts w:ascii="Verdana" w:eastAsiaTheme="minorHAnsi" w:hAnsi="Verdana" w:cstheme="minorBidi"/>
                <w:color w:val="323130"/>
                <w:spacing w:val="-2"/>
                <w:sz w:val="20"/>
                <w:szCs w:val="20"/>
                <w:shd w:val="clear" w:color="auto" w:fill="FFFFFF"/>
                <w:lang w:eastAsia="en-US"/>
              </w:rPr>
              <w:t xml:space="preserve">is a simple way to contact Library and </w:t>
            </w:r>
            <w:hyperlink r:id="rId39" w:history="1">
              <w:proofErr w:type="spellStart"/>
              <w:r w:rsidRPr="00151960">
                <w:rPr>
                  <w:rStyle w:val="Hyperlink"/>
                  <w:rFonts w:ascii="Verdana" w:eastAsiaTheme="minorHAnsi" w:hAnsi="Verdana" w:cstheme="minorBidi"/>
                  <w:spacing w:val="-2"/>
                  <w:sz w:val="20"/>
                  <w:szCs w:val="20"/>
                  <w:shd w:val="clear" w:color="auto" w:fill="FFFFFF"/>
                  <w:lang w:eastAsia="en-US"/>
                </w:rPr>
                <w:t>Skills@Cumbria</w:t>
              </w:r>
              <w:proofErr w:type="spellEnd"/>
            </w:hyperlink>
            <w:r w:rsidRPr="00151960">
              <w:rPr>
                <w:rFonts w:ascii="Verdana" w:eastAsiaTheme="minorHAnsi" w:hAnsi="Verdana" w:cstheme="minorBidi"/>
                <w:color w:val="323130"/>
                <w:spacing w:val="-2"/>
                <w:sz w:val="20"/>
                <w:szCs w:val="20"/>
                <w:shd w:val="clear" w:color="auto" w:fill="FFFFFF"/>
                <w:lang w:eastAsia="en-US"/>
              </w:rPr>
              <w:t xml:space="preserve"> Services.</w:t>
            </w:r>
            <w:r w:rsidRPr="00151960">
              <w:rPr>
                <w:rFonts w:ascii="Verdana" w:hAnsi="Verdana"/>
                <w:sz w:val="20"/>
                <w:szCs w:val="20"/>
              </w:rPr>
              <w:t xml:space="preserve"> Additional skills support for students is offered via:</w:t>
            </w:r>
          </w:p>
          <w:p w14:paraId="3258B60E" w14:textId="079EC7C8" w:rsidR="000653D3" w:rsidRDefault="00000000" w:rsidP="004D667C">
            <w:pPr>
              <w:pStyle w:val="NormalWeb"/>
              <w:numPr>
                <w:ilvl w:val="0"/>
                <w:numId w:val="21"/>
              </w:numPr>
              <w:spacing w:before="120" w:after="120" w:line="276" w:lineRule="auto"/>
              <w:rPr>
                <w:rFonts w:ascii="Verdana" w:hAnsi="Verdana"/>
                <w:sz w:val="20"/>
                <w:szCs w:val="20"/>
              </w:rPr>
            </w:pPr>
            <w:hyperlink r:id="rId40" w:history="1">
              <w:r w:rsidR="000653D3" w:rsidRPr="000653D3">
                <w:rPr>
                  <w:rStyle w:val="Hyperlink"/>
                  <w:rFonts w:ascii="Verdana" w:hAnsi="Verdana"/>
                  <w:sz w:val="20"/>
                  <w:szCs w:val="20"/>
                </w:rPr>
                <w:t>Workshops</w:t>
              </w:r>
            </w:hyperlink>
            <w:r w:rsidR="000653D3" w:rsidRPr="000653D3">
              <w:rPr>
                <w:rFonts w:ascii="Verdana" w:hAnsi="Verdana"/>
                <w:sz w:val="20"/>
                <w:szCs w:val="20"/>
              </w:rPr>
              <w:t xml:space="preserve"> </w:t>
            </w:r>
          </w:p>
          <w:p w14:paraId="20F36F51" w14:textId="69AE1446" w:rsidR="000653D3" w:rsidRDefault="00000000" w:rsidP="004D667C">
            <w:pPr>
              <w:pStyle w:val="NormalWeb"/>
              <w:numPr>
                <w:ilvl w:val="0"/>
                <w:numId w:val="21"/>
              </w:numPr>
              <w:spacing w:before="120" w:after="120" w:line="276" w:lineRule="auto"/>
              <w:rPr>
                <w:rFonts w:ascii="Verdana" w:hAnsi="Verdana"/>
                <w:sz w:val="20"/>
                <w:szCs w:val="20"/>
              </w:rPr>
            </w:pPr>
            <w:hyperlink r:id="rId41" w:history="1">
              <w:r w:rsidR="000653D3" w:rsidRPr="000653D3">
                <w:rPr>
                  <w:rStyle w:val="Hyperlink"/>
                  <w:rFonts w:ascii="Verdana" w:hAnsi="Verdana"/>
                  <w:sz w:val="20"/>
                  <w:szCs w:val="20"/>
                </w:rPr>
                <w:t>Appointments</w:t>
              </w:r>
            </w:hyperlink>
            <w:r w:rsidR="000653D3" w:rsidRPr="000653D3">
              <w:rPr>
                <w:rFonts w:ascii="Verdana" w:hAnsi="Verdana"/>
                <w:sz w:val="20"/>
                <w:szCs w:val="20"/>
              </w:rPr>
              <w:t xml:space="preserve"> </w:t>
            </w:r>
          </w:p>
          <w:p w14:paraId="0B8A75A7" w14:textId="4E4A3098" w:rsidR="000653D3" w:rsidRDefault="00000000" w:rsidP="004D667C">
            <w:pPr>
              <w:pStyle w:val="NormalWeb"/>
              <w:numPr>
                <w:ilvl w:val="0"/>
                <w:numId w:val="21"/>
              </w:numPr>
              <w:spacing w:before="120" w:after="120" w:line="276" w:lineRule="auto"/>
              <w:rPr>
                <w:rFonts w:ascii="Verdana" w:hAnsi="Verdana"/>
                <w:sz w:val="20"/>
                <w:szCs w:val="20"/>
              </w:rPr>
            </w:pPr>
            <w:hyperlink r:id="rId42" w:history="1">
              <w:r w:rsidR="000653D3" w:rsidRPr="000653D3">
                <w:rPr>
                  <w:rStyle w:val="Hyperlink"/>
                  <w:rFonts w:ascii="Verdana" w:hAnsi="Verdana"/>
                  <w:sz w:val="20"/>
                  <w:szCs w:val="20"/>
                </w:rPr>
                <w:t>Webinars</w:t>
              </w:r>
            </w:hyperlink>
            <w:r w:rsidR="000653D3" w:rsidRPr="000653D3">
              <w:rPr>
                <w:rFonts w:ascii="Verdana" w:hAnsi="Verdana"/>
                <w:sz w:val="20"/>
                <w:szCs w:val="20"/>
              </w:rPr>
              <w:t xml:space="preserve"> </w:t>
            </w:r>
          </w:p>
          <w:p w14:paraId="3925AF8E" w14:textId="6E6B1861" w:rsidR="000653D3" w:rsidRDefault="00000000" w:rsidP="004D667C">
            <w:pPr>
              <w:pStyle w:val="NormalWeb"/>
              <w:numPr>
                <w:ilvl w:val="0"/>
                <w:numId w:val="21"/>
              </w:numPr>
              <w:spacing w:before="120" w:after="120" w:line="276" w:lineRule="auto"/>
              <w:rPr>
                <w:rFonts w:ascii="Verdana" w:hAnsi="Verdana"/>
                <w:sz w:val="20"/>
                <w:szCs w:val="20"/>
              </w:rPr>
            </w:pPr>
            <w:hyperlink r:id="rId43" w:history="1">
              <w:r w:rsidR="000653D3" w:rsidRPr="000653D3">
                <w:rPr>
                  <w:rStyle w:val="Hyperlink"/>
                  <w:rFonts w:ascii="Verdana" w:hAnsi="Verdana"/>
                  <w:sz w:val="20"/>
                  <w:szCs w:val="20"/>
                </w:rPr>
                <w:t>Learn Well at Cumbria</w:t>
              </w:r>
            </w:hyperlink>
            <w:r w:rsidR="000653D3">
              <w:rPr>
                <w:rFonts w:ascii="Verdana" w:hAnsi="Verdana"/>
                <w:sz w:val="20"/>
                <w:szCs w:val="20"/>
              </w:rPr>
              <w:t xml:space="preserve"> </w:t>
            </w:r>
          </w:p>
          <w:p w14:paraId="6AAA63E2" w14:textId="4D6DA87A" w:rsidR="000653D3" w:rsidRDefault="00000000" w:rsidP="004D667C">
            <w:pPr>
              <w:pStyle w:val="NormalWeb"/>
              <w:numPr>
                <w:ilvl w:val="0"/>
                <w:numId w:val="21"/>
              </w:numPr>
              <w:spacing w:before="120" w:after="120" w:line="276" w:lineRule="auto"/>
              <w:rPr>
                <w:rFonts w:ascii="Verdana" w:hAnsi="Verdana"/>
                <w:sz w:val="20"/>
                <w:szCs w:val="20"/>
              </w:rPr>
            </w:pPr>
            <w:hyperlink r:id="rId44" w:history="1">
              <w:r w:rsidR="000653D3" w:rsidRPr="000653D3">
                <w:rPr>
                  <w:rStyle w:val="Hyperlink"/>
                  <w:rFonts w:ascii="Verdana" w:hAnsi="Verdana"/>
                  <w:sz w:val="20"/>
                  <w:szCs w:val="20"/>
                </w:rPr>
                <w:t>Study from Home Webpage</w:t>
              </w:r>
            </w:hyperlink>
            <w:r w:rsidR="000653D3" w:rsidRPr="000653D3">
              <w:rPr>
                <w:rFonts w:ascii="Verdana" w:hAnsi="Verdana"/>
                <w:sz w:val="20"/>
                <w:szCs w:val="20"/>
              </w:rPr>
              <w:t xml:space="preserve"> </w:t>
            </w:r>
          </w:p>
          <w:p w14:paraId="037A1FC1" w14:textId="3B2A150A" w:rsidR="00B72DE5" w:rsidRPr="00EC2A90" w:rsidRDefault="00000000" w:rsidP="004D667C">
            <w:pPr>
              <w:pStyle w:val="NormalWeb"/>
              <w:numPr>
                <w:ilvl w:val="0"/>
                <w:numId w:val="21"/>
              </w:numPr>
              <w:spacing w:before="120" w:after="120" w:line="276" w:lineRule="auto"/>
              <w:rPr>
                <w:rFonts w:ascii="Verdana" w:hAnsi="Verdana"/>
                <w:bCs/>
                <w:color w:val="C00000"/>
                <w:sz w:val="20"/>
                <w:szCs w:val="20"/>
              </w:rPr>
            </w:pPr>
            <w:hyperlink r:id="rId45" w:history="1">
              <w:r w:rsidR="000653D3" w:rsidRPr="000653D3">
                <w:rPr>
                  <w:rStyle w:val="Hyperlink"/>
                  <w:rFonts w:ascii="Verdana" w:hAnsi="Verdana"/>
                  <w:sz w:val="20"/>
                  <w:szCs w:val="20"/>
                </w:rPr>
                <w:t>Digital Capabilities</w:t>
              </w:r>
            </w:hyperlink>
            <w:r w:rsidR="000653D3" w:rsidRPr="000653D3">
              <w:rPr>
                <w:rFonts w:ascii="Verdana" w:hAnsi="Verdana"/>
                <w:sz w:val="20"/>
                <w:szCs w:val="20"/>
              </w:rPr>
              <w:t xml:space="preserve"> and </w:t>
            </w:r>
            <w:hyperlink r:id="rId46" w:history="1">
              <w:r w:rsidR="000653D3" w:rsidRPr="000653D3">
                <w:rPr>
                  <w:rStyle w:val="Hyperlink"/>
                  <w:rFonts w:ascii="Verdana" w:hAnsi="Verdana"/>
                  <w:sz w:val="20"/>
                  <w:szCs w:val="20"/>
                </w:rPr>
                <w:t>LinkedIn Learning Pathways</w:t>
              </w:r>
            </w:hyperlink>
          </w:p>
          <w:p w14:paraId="423ECB51" w14:textId="5C8738ED" w:rsidR="00476D5C" w:rsidRPr="00151960" w:rsidRDefault="00000000" w:rsidP="004D667C">
            <w:pPr>
              <w:spacing w:before="120" w:after="120"/>
              <w:rPr>
                <w:rFonts w:ascii="Verdana" w:hAnsi="Verdana"/>
                <w:sz w:val="20"/>
                <w:szCs w:val="20"/>
              </w:rPr>
            </w:pPr>
            <w:hyperlink r:id="rId47">
              <w:r w:rsidR="543F1552" w:rsidRPr="41946986">
                <w:rPr>
                  <w:rStyle w:val="Hyperlink"/>
                  <w:rFonts w:ascii="Verdana" w:hAnsi="Verdana"/>
                  <w:sz w:val="20"/>
                  <w:szCs w:val="20"/>
                </w:rPr>
                <w:t>Head Start to Postgraduate Study</w:t>
              </w:r>
            </w:hyperlink>
            <w:r w:rsidR="3E791C05" w:rsidRPr="41946986">
              <w:rPr>
                <w:rFonts w:ascii="Verdana" w:hAnsi="Verdana"/>
                <w:b/>
                <w:bCs/>
                <w:sz w:val="18"/>
                <w:szCs w:val="18"/>
              </w:rPr>
              <w:t xml:space="preserve"> </w:t>
            </w:r>
            <w:r w:rsidR="3E791C05" w:rsidRPr="41946986">
              <w:rPr>
                <w:rFonts w:ascii="Verdana" w:hAnsi="Verdana"/>
                <w:sz w:val="20"/>
                <w:szCs w:val="20"/>
              </w:rPr>
              <w:t xml:space="preserve">This free online pre-entry </w:t>
            </w:r>
            <w:proofErr w:type="gramStart"/>
            <w:r w:rsidR="3E791C05" w:rsidRPr="41946986">
              <w:rPr>
                <w:rFonts w:ascii="Verdana" w:hAnsi="Verdana"/>
                <w:sz w:val="20"/>
                <w:szCs w:val="20"/>
              </w:rPr>
              <w:t>Master’s</w:t>
            </w:r>
            <w:proofErr w:type="gramEnd"/>
            <w:r w:rsidR="3E791C05" w:rsidRPr="41946986">
              <w:rPr>
                <w:rFonts w:ascii="Verdana" w:hAnsi="Verdana"/>
                <w:sz w:val="20"/>
                <w:szCs w:val="20"/>
              </w:rPr>
              <w:t xml:space="preserve"> level course is available free of charge through Blackboard.</w:t>
            </w:r>
            <w:r w:rsidR="61A55AD8" w:rsidRPr="41946986">
              <w:rPr>
                <w:rFonts w:ascii="Verdana" w:hAnsi="Verdana"/>
                <w:sz w:val="20"/>
                <w:szCs w:val="20"/>
              </w:rPr>
              <w:t xml:space="preserve"> </w:t>
            </w:r>
            <w:r w:rsidR="3E791C05" w:rsidRPr="41946986">
              <w:rPr>
                <w:rFonts w:ascii="Verdana" w:hAnsi="Verdana"/>
                <w:sz w:val="20"/>
                <w:szCs w:val="20"/>
              </w:rPr>
              <w:t>It provides a useful insight into the academic requirements of study at postgraduate level</w:t>
            </w:r>
            <w:r w:rsidR="3F3C52AD" w:rsidRPr="41946986">
              <w:rPr>
                <w:rFonts w:ascii="Verdana" w:hAnsi="Verdana"/>
                <w:sz w:val="20"/>
                <w:szCs w:val="20"/>
              </w:rPr>
              <w:t>, including advice from academic tutors and current students, and an opportunity to refresh and develop the library, academic and digital skills for this level. It is recommended to students who are about to start their PG qualification.</w:t>
            </w:r>
          </w:p>
          <w:p w14:paraId="71FA4196" w14:textId="550D863F" w:rsidR="00476D5C" w:rsidRPr="00EC2A90" w:rsidRDefault="00476D5C" w:rsidP="004D667C">
            <w:pPr>
              <w:spacing w:before="120" w:after="120"/>
              <w:rPr>
                <w:rFonts w:ascii="Verdana" w:hAnsi="Verdana"/>
                <w:sz w:val="20"/>
                <w:szCs w:val="20"/>
              </w:rPr>
            </w:pPr>
            <w:r w:rsidRPr="00151960">
              <w:rPr>
                <w:rFonts w:ascii="Verdana" w:hAnsi="Verdana"/>
                <w:sz w:val="20"/>
                <w:szCs w:val="20"/>
              </w:rPr>
              <w:t xml:space="preserve">The module is accessible via Blackboard on a self-enrol basis, where you receive badges and certificate of completion, or there is a non-certificated open access version available via the </w:t>
            </w:r>
            <w:hyperlink r:id="rId48">
              <w:r w:rsidRPr="00151960">
                <w:rPr>
                  <w:rStyle w:val="Hyperlink"/>
                  <w:rFonts w:ascii="Verdana" w:hAnsi="Verdana"/>
                  <w:sz w:val="20"/>
                  <w:szCs w:val="20"/>
                </w:rPr>
                <w:t>Head Start webpage</w:t>
              </w:r>
            </w:hyperlink>
            <w:r w:rsidRPr="00151960">
              <w:rPr>
                <w:rFonts w:ascii="Verdana" w:hAnsi="Verdana"/>
                <w:sz w:val="20"/>
                <w:szCs w:val="20"/>
              </w:rPr>
              <w:t>.</w:t>
            </w:r>
          </w:p>
          <w:p w14:paraId="4D6CDB39" w14:textId="1BB34668" w:rsidR="007B246C" w:rsidRPr="00151960" w:rsidRDefault="007B246C" w:rsidP="004D667C">
            <w:pPr>
              <w:spacing w:before="120" w:after="120"/>
              <w:rPr>
                <w:rFonts w:ascii="Verdana" w:hAnsi="Verdana"/>
                <w:b/>
                <w:bCs/>
                <w:sz w:val="20"/>
                <w:szCs w:val="20"/>
              </w:rPr>
            </w:pPr>
            <w:r w:rsidRPr="00151960">
              <w:rPr>
                <w:rFonts w:ascii="Verdana" w:hAnsi="Verdana"/>
                <w:b/>
                <w:bCs/>
                <w:sz w:val="20"/>
                <w:szCs w:val="20"/>
              </w:rPr>
              <w:t>Student Support Services</w:t>
            </w:r>
          </w:p>
          <w:p w14:paraId="44C2F778" w14:textId="79CCC560" w:rsidR="00E827DC" w:rsidRPr="00151960" w:rsidRDefault="00E827DC" w:rsidP="004D667C">
            <w:pPr>
              <w:spacing w:before="120" w:after="120"/>
              <w:rPr>
                <w:rFonts w:ascii="Verdana" w:hAnsi="Verdana"/>
                <w:sz w:val="20"/>
                <w:szCs w:val="20"/>
              </w:rPr>
            </w:pPr>
            <w:r w:rsidRPr="00151960">
              <w:rPr>
                <w:rFonts w:ascii="Verdana" w:hAnsi="Verdana"/>
                <w:sz w:val="20"/>
                <w:szCs w:val="20"/>
              </w:rPr>
              <w:t xml:space="preserve">The </w:t>
            </w:r>
            <w:hyperlink r:id="rId49" w:tgtFrame="_blank" w:history="1">
              <w:r w:rsidRPr="00151960">
                <w:rPr>
                  <w:rStyle w:val="Hyperlink"/>
                  <w:rFonts w:ascii="Verdana" w:hAnsi="Verdana"/>
                  <w:sz w:val="20"/>
                  <w:szCs w:val="20"/>
                </w:rPr>
                <w:t>Student Enquiry Point</w:t>
              </w:r>
            </w:hyperlink>
            <w:r w:rsidRPr="00151960">
              <w:rPr>
                <w:rFonts w:ascii="Verdana" w:hAnsi="Verdana"/>
                <w:sz w:val="20"/>
                <w:szCs w:val="20"/>
              </w:rPr>
              <w:t xml:space="preserve"> is a simple way to contact Student Services. Using the Student Enquiry Point tile on the Student Hub you can submit an enquiry to any of the Student Services teams, which includes:</w:t>
            </w:r>
          </w:p>
          <w:p w14:paraId="069C7DB5" w14:textId="1F4074EB" w:rsidR="00E827DC" w:rsidRPr="00151960" w:rsidRDefault="00000000" w:rsidP="004D667C">
            <w:pPr>
              <w:numPr>
                <w:ilvl w:val="0"/>
                <w:numId w:val="23"/>
              </w:numPr>
              <w:spacing w:before="120" w:after="120"/>
              <w:rPr>
                <w:rFonts w:ascii="Verdana" w:hAnsi="Verdana"/>
                <w:sz w:val="20"/>
                <w:szCs w:val="20"/>
              </w:rPr>
            </w:pPr>
            <w:hyperlink r:id="rId50" w:history="1">
              <w:r w:rsidR="00E827DC" w:rsidRPr="00151960">
                <w:rPr>
                  <w:rStyle w:val="Hyperlink"/>
                  <w:rFonts w:ascii="Verdana" w:hAnsi="Verdana"/>
                  <w:sz w:val="20"/>
                  <w:szCs w:val="20"/>
                </w:rPr>
                <w:t>Careers and Employability</w:t>
              </w:r>
            </w:hyperlink>
          </w:p>
          <w:p w14:paraId="3C8F3B55" w14:textId="4F81EE49" w:rsidR="00E827DC" w:rsidRPr="00151960" w:rsidRDefault="00000000" w:rsidP="004D667C">
            <w:pPr>
              <w:numPr>
                <w:ilvl w:val="0"/>
                <w:numId w:val="23"/>
              </w:numPr>
              <w:spacing w:before="120" w:after="120"/>
              <w:rPr>
                <w:rFonts w:ascii="Verdana" w:hAnsi="Verdana"/>
                <w:sz w:val="20"/>
                <w:szCs w:val="20"/>
              </w:rPr>
            </w:pPr>
            <w:hyperlink r:id="rId51" w:history="1">
              <w:r w:rsidR="00E827DC" w:rsidRPr="00151960">
                <w:rPr>
                  <w:rStyle w:val="Hyperlink"/>
                  <w:rFonts w:ascii="Verdana" w:hAnsi="Verdana"/>
                  <w:sz w:val="20"/>
                  <w:szCs w:val="20"/>
                </w:rPr>
                <w:t>Chaplaincy</w:t>
              </w:r>
            </w:hyperlink>
            <w:r w:rsidR="00E827DC" w:rsidRPr="00151960">
              <w:rPr>
                <w:rFonts w:ascii="Verdana" w:hAnsi="Verdana"/>
                <w:sz w:val="20"/>
                <w:szCs w:val="20"/>
              </w:rPr>
              <w:t xml:space="preserve"> for faith and spiritual wellbeing</w:t>
            </w:r>
          </w:p>
          <w:p w14:paraId="5DE3F6A8" w14:textId="50E4BC64" w:rsidR="00E827DC" w:rsidRPr="00151960" w:rsidRDefault="00000000" w:rsidP="004D667C">
            <w:pPr>
              <w:numPr>
                <w:ilvl w:val="0"/>
                <w:numId w:val="23"/>
              </w:numPr>
              <w:spacing w:before="120" w:after="120"/>
              <w:rPr>
                <w:rFonts w:ascii="Verdana" w:hAnsi="Verdana"/>
                <w:sz w:val="20"/>
                <w:szCs w:val="20"/>
              </w:rPr>
            </w:pPr>
            <w:hyperlink r:id="rId52" w:history="1">
              <w:r w:rsidR="00E827DC" w:rsidRPr="00151960">
                <w:rPr>
                  <w:rStyle w:val="Hyperlink"/>
                  <w:rFonts w:ascii="Verdana" w:hAnsi="Verdana"/>
                  <w:sz w:val="20"/>
                  <w:szCs w:val="20"/>
                </w:rPr>
                <w:t>Mental Health and Wellbeing</w:t>
              </w:r>
            </w:hyperlink>
          </w:p>
          <w:p w14:paraId="0D7A6F83" w14:textId="7529A73C" w:rsidR="00E827DC" w:rsidRPr="00151960" w:rsidRDefault="00000000" w:rsidP="004D667C">
            <w:pPr>
              <w:numPr>
                <w:ilvl w:val="0"/>
                <w:numId w:val="23"/>
              </w:numPr>
              <w:spacing w:before="120" w:after="120"/>
              <w:rPr>
                <w:rFonts w:ascii="Verdana" w:hAnsi="Verdana"/>
                <w:sz w:val="20"/>
                <w:szCs w:val="20"/>
              </w:rPr>
            </w:pPr>
            <w:hyperlink r:id="rId53" w:history="1">
              <w:r w:rsidR="00E827DC" w:rsidRPr="00151960">
                <w:rPr>
                  <w:rStyle w:val="Hyperlink"/>
                  <w:rFonts w:ascii="Verdana" w:hAnsi="Verdana"/>
                  <w:sz w:val="20"/>
                  <w:szCs w:val="20"/>
                </w:rPr>
                <w:t>Digital Skills</w:t>
              </w:r>
            </w:hyperlink>
          </w:p>
          <w:p w14:paraId="2D14BE52" w14:textId="02BB4F2B" w:rsidR="00E827DC" w:rsidRPr="00151960" w:rsidRDefault="00000000" w:rsidP="004D667C">
            <w:pPr>
              <w:numPr>
                <w:ilvl w:val="0"/>
                <w:numId w:val="23"/>
              </w:numPr>
              <w:spacing w:before="120" w:after="120"/>
              <w:rPr>
                <w:rFonts w:ascii="Verdana" w:hAnsi="Verdana"/>
                <w:sz w:val="20"/>
                <w:szCs w:val="20"/>
              </w:rPr>
            </w:pPr>
            <w:hyperlink r:id="rId54" w:history="1">
              <w:r w:rsidR="00E827DC" w:rsidRPr="00151960">
                <w:rPr>
                  <w:rStyle w:val="Hyperlink"/>
                  <w:rFonts w:ascii="Verdana" w:hAnsi="Verdana"/>
                  <w:sz w:val="20"/>
                  <w:szCs w:val="20"/>
                </w:rPr>
                <w:t>Disability and Specific Learning Difficulty (</w:t>
              </w:r>
              <w:proofErr w:type="spellStart"/>
              <w:r w:rsidR="00E827DC" w:rsidRPr="00151960">
                <w:rPr>
                  <w:rStyle w:val="Hyperlink"/>
                  <w:rFonts w:ascii="Verdana" w:hAnsi="Verdana"/>
                  <w:sz w:val="20"/>
                  <w:szCs w:val="20"/>
                </w:rPr>
                <w:t>SpLD</w:t>
              </w:r>
              <w:proofErr w:type="spellEnd"/>
            </w:hyperlink>
            <w:r w:rsidR="00E827DC" w:rsidRPr="00151960">
              <w:rPr>
                <w:rFonts w:ascii="Verdana" w:hAnsi="Verdana"/>
                <w:sz w:val="20"/>
                <w:szCs w:val="20"/>
              </w:rPr>
              <w:t>)</w:t>
            </w:r>
          </w:p>
          <w:p w14:paraId="0FD61F71" w14:textId="4732B100" w:rsidR="00E827DC" w:rsidRPr="00151960" w:rsidRDefault="00000000" w:rsidP="004D667C">
            <w:pPr>
              <w:numPr>
                <w:ilvl w:val="0"/>
                <w:numId w:val="23"/>
              </w:numPr>
              <w:spacing w:before="120" w:after="120"/>
              <w:rPr>
                <w:rFonts w:ascii="Verdana" w:hAnsi="Verdana"/>
                <w:sz w:val="20"/>
                <w:szCs w:val="20"/>
              </w:rPr>
            </w:pPr>
            <w:hyperlink r:id="rId55" w:history="1">
              <w:r w:rsidR="00E827DC" w:rsidRPr="00151960">
                <w:rPr>
                  <w:rStyle w:val="Hyperlink"/>
                  <w:rFonts w:ascii="Verdana" w:hAnsi="Verdana"/>
                  <w:sz w:val="20"/>
                  <w:szCs w:val="20"/>
                </w:rPr>
                <w:t>International Student Support</w:t>
              </w:r>
            </w:hyperlink>
          </w:p>
          <w:p w14:paraId="2480E8C0" w14:textId="365FF353" w:rsidR="00E827DC" w:rsidRPr="00151960" w:rsidRDefault="00000000" w:rsidP="004D667C">
            <w:pPr>
              <w:numPr>
                <w:ilvl w:val="0"/>
                <w:numId w:val="23"/>
              </w:numPr>
              <w:spacing w:before="120" w:after="120"/>
              <w:rPr>
                <w:rFonts w:ascii="Verdana" w:hAnsi="Verdana"/>
                <w:sz w:val="20"/>
                <w:szCs w:val="20"/>
              </w:rPr>
            </w:pPr>
            <w:hyperlink r:id="rId56" w:history="1">
              <w:r w:rsidR="00E827DC" w:rsidRPr="00151960">
                <w:rPr>
                  <w:rStyle w:val="Hyperlink"/>
                  <w:rFonts w:ascii="Verdana" w:hAnsi="Verdana"/>
                  <w:sz w:val="20"/>
                  <w:szCs w:val="20"/>
                </w:rPr>
                <w:t>Library</w:t>
              </w:r>
            </w:hyperlink>
          </w:p>
          <w:p w14:paraId="006DD828" w14:textId="4BDE6CE2" w:rsidR="00E827DC" w:rsidRPr="00151960" w:rsidRDefault="00000000" w:rsidP="004D667C">
            <w:pPr>
              <w:numPr>
                <w:ilvl w:val="0"/>
                <w:numId w:val="23"/>
              </w:numPr>
              <w:spacing w:before="120" w:after="120"/>
              <w:rPr>
                <w:rFonts w:ascii="Verdana" w:hAnsi="Verdana"/>
                <w:sz w:val="20"/>
                <w:szCs w:val="20"/>
              </w:rPr>
            </w:pPr>
            <w:hyperlink r:id="rId57" w:history="1">
              <w:r w:rsidR="00E827DC" w:rsidRPr="00151960">
                <w:rPr>
                  <w:rStyle w:val="Hyperlink"/>
                  <w:rFonts w:ascii="Verdana" w:hAnsi="Verdana"/>
                  <w:sz w:val="20"/>
                  <w:szCs w:val="20"/>
                </w:rPr>
                <w:t>Money Matters</w:t>
              </w:r>
            </w:hyperlink>
          </w:p>
          <w:p w14:paraId="110A382C" w14:textId="72E419CA" w:rsidR="00E827DC" w:rsidRPr="00151960" w:rsidRDefault="00000000" w:rsidP="004D667C">
            <w:pPr>
              <w:numPr>
                <w:ilvl w:val="0"/>
                <w:numId w:val="23"/>
              </w:numPr>
              <w:spacing w:before="120" w:after="120"/>
              <w:rPr>
                <w:rFonts w:ascii="Verdana" w:hAnsi="Verdana"/>
                <w:sz w:val="20"/>
                <w:szCs w:val="20"/>
              </w:rPr>
            </w:pPr>
            <w:hyperlink r:id="rId58" w:history="1">
              <w:r w:rsidR="00E827DC" w:rsidRPr="00151960">
                <w:rPr>
                  <w:rStyle w:val="Hyperlink"/>
                  <w:rFonts w:ascii="Verdana" w:hAnsi="Verdana"/>
                  <w:sz w:val="20"/>
                  <w:szCs w:val="20"/>
                </w:rPr>
                <w:t>Safeguarding</w:t>
              </w:r>
            </w:hyperlink>
          </w:p>
          <w:p w14:paraId="79CDBE8C" w14:textId="77777777" w:rsidR="00E827DC" w:rsidRPr="00151960" w:rsidRDefault="00000000" w:rsidP="004D667C">
            <w:pPr>
              <w:numPr>
                <w:ilvl w:val="0"/>
                <w:numId w:val="23"/>
              </w:numPr>
              <w:spacing w:before="120" w:after="120"/>
              <w:rPr>
                <w:rFonts w:ascii="Verdana" w:hAnsi="Verdana"/>
                <w:sz w:val="20"/>
                <w:szCs w:val="20"/>
              </w:rPr>
            </w:pPr>
            <w:hyperlink r:id="rId59" w:history="1">
              <w:proofErr w:type="spellStart"/>
              <w:r w:rsidR="00E827DC" w:rsidRPr="00151960">
                <w:rPr>
                  <w:rStyle w:val="Hyperlink"/>
                  <w:rFonts w:ascii="Verdana" w:hAnsi="Verdana"/>
                  <w:sz w:val="20"/>
                  <w:szCs w:val="20"/>
                </w:rPr>
                <w:t>Skills@Cumbria</w:t>
              </w:r>
              <w:proofErr w:type="spellEnd"/>
            </w:hyperlink>
          </w:p>
          <w:p w14:paraId="034D3B49" w14:textId="3F66E2D6" w:rsidR="00E827DC" w:rsidRPr="00151960" w:rsidRDefault="00000000" w:rsidP="004D667C">
            <w:pPr>
              <w:numPr>
                <w:ilvl w:val="0"/>
                <w:numId w:val="23"/>
              </w:numPr>
              <w:spacing w:before="120" w:after="120"/>
              <w:rPr>
                <w:rFonts w:ascii="Verdana" w:hAnsi="Verdana"/>
                <w:sz w:val="20"/>
                <w:szCs w:val="20"/>
              </w:rPr>
            </w:pPr>
            <w:hyperlink r:id="rId60" w:history="1">
              <w:r w:rsidR="00E827DC" w:rsidRPr="00151960">
                <w:rPr>
                  <w:rStyle w:val="Hyperlink"/>
                  <w:rFonts w:ascii="Verdana" w:hAnsi="Verdana"/>
                  <w:sz w:val="20"/>
                  <w:szCs w:val="20"/>
                </w:rPr>
                <w:t>Sports and Fitness Facilities</w:t>
              </w:r>
            </w:hyperlink>
          </w:p>
          <w:p w14:paraId="13CA9F2C" w14:textId="7C364303" w:rsidR="00716456" w:rsidRPr="00EC2A90" w:rsidRDefault="00000000" w:rsidP="004D667C">
            <w:pPr>
              <w:numPr>
                <w:ilvl w:val="0"/>
                <w:numId w:val="23"/>
              </w:numPr>
              <w:spacing w:before="120" w:after="120"/>
              <w:rPr>
                <w:rFonts w:ascii="Verdana" w:hAnsi="Verdana"/>
                <w:sz w:val="20"/>
                <w:szCs w:val="20"/>
              </w:rPr>
            </w:pPr>
            <w:hyperlink r:id="rId61" w:history="1">
              <w:r w:rsidR="00E827DC" w:rsidRPr="00151960">
                <w:rPr>
                  <w:rStyle w:val="Hyperlink"/>
                  <w:rFonts w:ascii="Verdana" w:hAnsi="Verdana"/>
                  <w:sz w:val="20"/>
                  <w:szCs w:val="20"/>
                </w:rPr>
                <w:t>University Student Accommodation</w:t>
              </w:r>
            </w:hyperlink>
          </w:p>
          <w:p w14:paraId="1BBDA656" w14:textId="4CE11501" w:rsidR="006B34D2" w:rsidRPr="00EC2A90" w:rsidRDefault="007B246C" w:rsidP="004D667C">
            <w:pPr>
              <w:spacing w:before="120" w:after="120"/>
              <w:rPr>
                <w:rFonts w:ascii="Verdana" w:hAnsi="Verdana"/>
                <w:b/>
                <w:bCs/>
                <w:sz w:val="20"/>
                <w:szCs w:val="20"/>
              </w:rPr>
            </w:pPr>
            <w:r w:rsidRPr="004C4E3B">
              <w:rPr>
                <w:rFonts w:ascii="Verdana" w:hAnsi="Verdana"/>
                <w:b/>
                <w:bCs/>
                <w:sz w:val="20"/>
                <w:szCs w:val="20"/>
              </w:rPr>
              <w:t>Further support and guidance, including EDI and Safeguarding</w:t>
            </w:r>
            <w:r w:rsidR="004C4E3B">
              <w:rPr>
                <w:rFonts w:ascii="Verdana" w:hAnsi="Verdana"/>
                <w:b/>
                <w:bCs/>
                <w:sz w:val="20"/>
                <w:szCs w:val="20"/>
              </w:rPr>
              <w:t xml:space="preserve">: </w:t>
            </w:r>
            <w:r w:rsidRPr="007B246C">
              <w:rPr>
                <w:rFonts w:ascii="Verdana" w:hAnsi="Verdana"/>
                <w:bCs/>
                <w:sz w:val="20"/>
                <w:szCs w:val="20"/>
              </w:rPr>
              <w:t xml:space="preserve">We are an inclusive community, committed to supporting and learning from each other, find out more about </w:t>
            </w:r>
            <w:hyperlink r:id="rId62" w:history="1">
              <w:r w:rsidRPr="004C4E3B">
                <w:rPr>
                  <w:rStyle w:val="Hyperlink"/>
                  <w:rFonts w:ascii="Verdana" w:hAnsi="Verdana"/>
                  <w:bCs/>
                  <w:sz w:val="20"/>
                  <w:szCs w:val="20"/>
                </w:rPr>
                <w:t>Equality, Diversity and Inclusion (EDI)</w:t>
              </w:r>
            </w:hyperlink>
            <w:r w:rsidRPr="007B246C">
              <w:rPr>
                <w:rFonts w:ascii="Verdana" w:hAnsi="Verdana"/>
                <w:bCs/>
                <w:sz w:val="20"/>
                <w:szCs w:val="20"/>
              </w:rPr>
              <w:t xml:space="preserve">.  Depending on the nature of your course, you may well already know about or be learning about safeguarding in a professional context and to find out about the University of Cumbria's safeguarding policy and procedures visit: </w:t>
            </w:r>
            <w:hyperlink r:id="rId63" w:history="1">
              <w:r w:rsidRPr="004C4E3B">
                <w:rPr>
                  <w:rStyle w:val="Hyperlink"/>
                  <w:rFonts w:ascii="Verdana" w:hAnsi="Verdana"/>
                  <w:bCs/>
                  <w:sz w:val="20"/>
                  <w:szCs w:val="20"/>
                </w:rPr>
                <w:t>Safeguarding</w:t>
              </w:r>
            </w:hyperlink>
            <w:r w:rsidRPr="007B246C">
              <w:rPr>
                <w:rFonts w:ascii="Verdana" w:hAnsi="Verdana"/>
                <w:bCs/>
                <w:sz w:val="20"/>
                <w:szCs w:val="20"/>
              </w:rPr>
              <w:t xml:space="preserve">.    </w:t>
            </w:r>
          </w:p>
          <w:p w14:paraId="6DA227C9" w14:textId="77777777" w:rsidR="006B34D2" w:rsidRPr="008675EA" w:rsidRDefault="006B34D2" w:rsidP="004D667C">
            <w:pPr>
              <w:spacing w:before="120" w:after="120"/>
              <w:rPr>
                <w:rFonts w:ascii="Verdana" w:eastAsia="Verdana" w:hAnsi="Verdana" w:cs="Verdana"/>
                <w:b/>
                <w:bCs/>
                <w:color w:val="000000" w:themeColor="text1"/>
                <w:sz w:val="20"/>
                <w:szCs w:val="20"/>
              </w:rPr>
            </w:pPr>
            <w:r w:rsidRPr="008675EA">
              <w:rPr>
                <w:rFonts w:ascii="Verdana" w:eastAsia="Verdana" w:hAnsi="Verdana" w:cs="Verdana"/>
                <w:b/>
                <w:bCs/>
                <w:color w:val="000000" w:themeColor="text1"/>
                <w:sz w:val="20"/>
                <w:szCs w:val="20"/>
              </w:rPr>
              <w:t>Student Voice</w:t>
            </w:r>
          </w:p>
          <w:p w14:paraId="00DD2BBB" w14:textId="77777777" w:rsidR="006B34D2" w:rsidRPr="008675EA" w:rsidRDefault="006B34D2" w:rsidP="004D667C">
            <w:pPr>
              <w:spacing w:before="120" w:after="120"/>
              <w:rPr>
                <w:rFonts w:ascii="Verdana" w:eastAsia="Verdana" w:hAnsi="Verdana" w:cs="Verdana"/>
                <w:color w:val="000000" w:themeColor="text1"/>
                <w:sz w:val="20"/>
                <w:szCs w:val="20"/>
              </w:rPr>
            </w:pPr>
            <w:r w:rsidRPr="008675EA">
              <w:rPr>
                <w:rFonts w:ascii="Verdana" w:eastAsia="Verdana" w:hAnsi="Verdana" w:cs="Verdana"/>
                <w:color w:val="000000" w:themeColor="text1"/>
                <w:sz w:val="20"/>
                <w:szCs w:val="20"/>
              </w:rPr>
              <w:t>As a student at the University of Cumbria you automatically become a member of the Students' Union.</w:t>
            </w:r>
            <w:r w:rsidRPr="008675EA">
              <w:rPr>
                <w:rFonts w:ascii="Verdana" w:eastAsia="Verdana" w:hAnsi="Verdana" w:cs="Verdana"/>
                <w:color w:val="201F1E"/>
                <w:sz w:val="20"/>
                <w:szCs w:val="20"/>
              </w:rPr>
              <w:t xml:space="preserve"> </w:t>
            </w:r>
            <w:r w:rsidRPr="008675EA">
              <w:rPr>
                <w:rFonts w:ascii="Verdana" w:eastAsia="Verdana" w:hAnsi="Verdana" w:cs="Verdana"/>
                <w:color w:val="000000" w:themeColor="text1"/>
                <w:sz w:val="20"/>
                <w:szCs w:val="20"/>
              </w:rPr>
              <w:t>The Students' Union represents the views and interests of students within the University.</w:t>
            </w:r>
          </w:p>
          <w:p w14:paraId="3FE35304" w14:textId="0C0E659C" w:rsidR="006B34D2" w:rsidRPr="008675EA" w:rsidRDefault="006B34D2" w:rsidP="004D667C">
            <w:pPr>
              <w:spacing w:before="120" w:after="120"/>
              <w:rPr>
                <w:rFonts w:ascii="Verdana" w:eastAsia="Verdana" w:hAnsi="Verdana" w:cs="Verdana"/>
                <w:color w:val="000000" w:themeColor="text1"/>
                <w:sz w:val="20"/>
                <w:szCs w:val="20"/>
              </w:rPr>
            </w:pPr>
            <w:r w:rsidRPr="008675EA">
              <w:rPr>
                <w:rFonts w:ascii="Verdana" w:eastAsia="Verdana" w:hAnsi="Verdana" w:cs="Verdana"/>
                <w:color w:val="000000" w:themeColor="text1"/>
                <w:sz w:val="20"/>
                <w:szCs w:val="20"/>
              </w:rPr>
              <w:t xml:space="preserve">The Students’ Union is led by a group of </w:t>
            </w:r>
            <w:r w:rsidR="00043692" w:rsidRPr="008675EA">
              <w:rPr>
                <w:rFonts w:ascii="Verdana" w:eastAsia="Verdana" w:hAnsi="Verdana" w:cs="Verdana"/>
                <w:color w:val="000000" w:themeColor="text1"/>
                <w:sz w:val="20"/>
                <w:szCs w:val="20"/>
              </w:rPr>
              <w:t xml:space="preserve">Student Representatives </w:t>
            </w:r>
            <w:r w:rsidRPr="008675EA">
              <w:rPr>
                <w:rFonts w:ascii="Verdana" w:eastAsia="Verdana" w:hAnsi="Verdana" w:cs="Verdana"/>
                <w:color w:val="000000" w:themeColor="text1"/>
                <w:sz w:val="20"/>
                <w:szCs w:val="20"/>
              </w:rPr>
              <w:t>who are elected by students in annual elections. They also support approximately 400 Student Academic Reps within each cohort across the entire University. The Students’ Union represent the views of their cohort and work with academic staff to continuously develop and improve the experience for all University of Cumbria students.</w:t>
            </w:r>
            <w:r w:rsidRPr="008675EA">
              <w:rPr>
                <w:rFonts w:ascii="Verdana" w:eastAsia="Verdana" w:hAnsi="Verdana" w:cs="Verdana"/>
                <w:color w:val="201F1E"/>
                <w:sz w:val="20"/>
                <w:szCs w:val="20"/>
              </w:rPr>
              <w:t xml:space="preserve"> </w:t>
            </w:r>
            <w:r w:rsidRPr="008675EA">
              <w:rPr>
                <w:rFonts w:ascii="Verdana" w:eastAsia="Verdana" w:hAnsi="Verdana" w:cs="Verdana"/>
                <w:color w:val="000000" w:themeColor="text1"/>
                <w:sz w:val="20"/>
                <w:szCs w:val="20"/>
              </w:rPr>
              <w:t xml:space="preserve">You can find out more about who represents you at </w:t>
            </w:r>
            <w:hyperlink r:id="rId64" w:history="1">
              <w:r w:rsidRPr="008675EA">
                <w:rPr>
                  <w:rStyle w:val="Hyperlink"/>
                  <w:rFonts w:ascii="Verdana" w:eastAsia="Verdana" w:hAnsi="Verdana" w:cs="Verdana"/>
                  <w:color w:val="954F72"/>
                  <w:sz w:val="20"/>
                  <w:szCs w:val="20"/>
                </w:rPr>
                <w:t>www.ucsu.me</w:t>
              </w:r>
            </w:hyperlink>
            <w:r w:rsidRPr="008675EA">
              <w:rPr>
                <w:rFonts w:ascii="Verdana" w:eastAsia="Verdana" w:hAnsi="Verdana" w:cs="Verdana"/>
                <w:color w:val="000000" w:themeColor="text1"/>
                <w:sz w:val="20"/>
                <w:szCs w:val="20"/>
              </w:rPr>
              <w:t xml:space="preserve">. </w:t>
            </w:r>
          </w:p>
          <w:p w14:paraId="5723BFA7" w14:textId="708F7FD6" w:rsidR="006B34D2" w:rsidRDefault="006B34D2" w:rsidP="004D667C">
            <w:pPr>
              <w:spacing w:before="120" w:after="120"/>
              <w:rPr>
                <w:rFonts w:ascii="Verdana" w:eastAsia="Verdana" w:hAnsi="Verdana" w:cs="Verdana"/>
                <w:color w:val="000000" w:themeColor="text1"/>
                <w:sz w:val="20"/>
                <w:szCs w:val="20"/>
              </w:rPr>
            </w:pPr>
            <w:r w:rsidRPr="008675EA">
              <w:rPr>
                <w:rFonts w:ascii="Verdana" w:eastAsia="Verdana" w:hAnsi="Verdana" w:cs="Verdana"/>
                <w:color w:val="000000" w:themeColor="text1"/>
                <w:sz w:val="20"/>
                <w:szCs w:val="20"/>
              </w:rPr>
              <w:t xml:space="preserve">You can email at </w:t>
            </w:r>
            <w:r w:rsidR="008675EA" w:rsidRPr="008675EA">
              <w:rPr>
                <w:rFonts w:ascii="Verdana" w:eastAsia="Verdana" w:hAnsi="Verdana" w:cs="Verdana"/>
                <w:color w:val="000000" w:themeColor="text1"/>
                <w:sz w:val="20"/>
                <w:szCs w:val="20"/>
              </w:rPr>
              <w:t>any time</w:t>
            </w:r>
            <w:r w:rsidRPr="008675EA">
              <w:rPr>
                <w:rFonts w:ascii="Verdana" w:eastAsia="Verdana" w:hAnsi="Verdana" w:cs="Verdana"/>
                <w:color w:val="000000" w:themeColor="text1"/>
                <w:sz w:val="20"/>
                <w:szCs w:val="20"/>
              </w:rPr>
              <w:t xml:space="preserve"> on </w:t>
            </w:r>
            <w:hyperlink r:id="rId65" w:history="1">
              <w:r w:rsidRPr="008675EA">
                <w:rPr>
                  <w:rStyle w:val="Hyperlink"/>
                  <w:rFonts w:ascii="Verdana" w:eastAsia="Verdana" w:hAnsi="Verdana" w:cs="Verdana"/>
                  <w:color w:val="954F72"/>
                  <w:sz w:val="20"/>
                  <w:szCs w:val="20"/>
                </w:rPr>
                <w:t>studentvoice@cumbria.ac.uk</w:t>
              </w:r>
            </w:hyperlink>
            <w:r w:rsidRPr="008675EA">
              <w:rPr>
                <w:rFonts w:ascii="Verdana" w:eastAsia="Verdana" w:hAnsi="Verdana" w:cs="Verdana"/>
                <w:color w:val="000000" w:themeColor="text1"/>
                <w:sz w:val="20"/>
                <w:szCs w:val="20"/>
              </w:rPr>
              <w:t xml:space="preserve">. </w:t>
            </w:r>
          </w:p>
          <w:p w14:paraId="6A72D399" w14:textId="77777777" w:rsidR="00E827DC" w:rsidRPr="00151960" w:rsidRDefault="00E827DC" w:rsidP="004D667C">
            <w:pPr>
              <w:spacing w:before="120" w:after="120"/>
              <w:rPr>
                <w:rFonts w:ascii="Verdana" w:hAnsi="Verdana"/>
                <w:b/>
                <w:bCs/>
                <w:sz w:val="20"/>
                <w:szCs w:val="20"/>
              </w:rPr>
            </w:pPr>
            <w:r w:rsidRPr="00151960">
              <w:rPr>
                <w:rFonts w:ascii="Verdana" w:hAnsi="Verdana"/>
                <w:b/>
                <w:bCs/>
                <w:sz w:val="20"/>
                <w:szCs w:val="20"/>
              </w:rPr>
              <w:t>IT and Technical Support</w:t>
            </w:r>
          </w:p>
          <w:p w14:paraId="522C91C9" w14:textId="77777777" w:rsidR="00E827DC" w:rsidRPr="00151960" w:rsidRDefault="00E827DC" w:rsidP="004D667C">
            <w:pPr>
              <w:spacing w:before="120" w:after="120"/>
              <w:rPr>
                <w:rFonts w:ascii="Verdana" w:hAnsi="Verdana"/>
                <w:sz w:val="20"/>
                <w:szCs w:val="20"/>
              </w:rPr>
            </w:pPr>
            <w:r w:rsidRPr="00151960">
              <w:rPr>
                <w:rFonts w:ascii="Verdana" w:hAnsi="Verdana"/>
                <w:sz w:val="20"/>
                <w:szCs w:val="20"/>
              </w:rPr>
              <w:t xml:space="preserve">Technology is an invaluable asset when it comes to studying, so it’s important you know how to make the most out of the excellent </w:t>
            </w:r>
            <w:hyperlink r:id="rId66" w:history="1">
              <w:r w:rsidRPr="00151960">
                <w:rPr>
                  <w:rStyle w:val="Hyperlink"/>
                  <w:rFonts w:ascii="Verdana" w:hAnsi="Verdana"/>
                  <w:sz w:val="20"/>
                  <w:szCs w:val="20"/>
                </w:rPr>
                <w:t>IT facilities</w:t>
              </w:r>
            </w:hyperlink>
            <w:r w:rsidRPr="00151960">
              <w:rPr>
                <w:rFonts w:ascii="Verdana" w:hAnsi="Verdana"/>
                <w:sz w:val="20"/>
                <w:szCs w:val="20"/>
              </w:rPr>
              <w:t xml:space="preserve"> we have available. Our aim is to ensure you can access university electronic resources from anywhere or any device, whether on or off campus. The </w:t>
            </w:r>
            <w:hyperlink r:id="rId67" w:history="1">
              <w:r w:rsidRPr="00151960">
                <w:rPr>
                  <w:rStyle w:val="Hyperlink"/>
                  <w:rFonts w:ascii="Verdana" w:hAnsi="Verdana"/>
                  <w:sz w:val="20"/>
                  <w:szCs w:val="20"/>
                </w:rPr>
                <w:t>Student Hub</w:t>
              </w:r>
            </w:hyperlink>
            <w:r w:rsidRPr="00151960">
              <w:rPr>
                <w:rFonts w:ascii="Verdana" w:hAnsi="Verdana"/>
                <w:sz w:val="20"/>
                <w:szCs w:val="20"/>
              </w:rPr>
              <w:t xml:space="preserve"> is your one-stop gateway to all University systems, Outlook email, and OneDrive.</w:t>
            </w:r>
          </w:p>
          <w:p w14:paraId="3CE64F09" w14:textId="6A1A1242" w:rsidR="00E827DC" w:rsidRPr="00EC2A90" w:rsidRDefault="00E827DC" w:rsidP="004D667C">
            <w:pPr>
              <w:spacing w:before="120" w:after="120"/>
              <w:rPr>
                <w:rFonts w:ascii="Verdana" w:hAnsi="Verdana"/>
                <w:sz w:val="20"/>
                <w:szCs w:val="20"/>
              </w:rPr>
            </w:pPr>
            <w:r w:rsidRPr="00151960">
              <w:rPr>
                <w:rFonts w:ascii="Verdana" w:hAnsi="Verdana"/>
                <w:sz w:val="20"/>
                <w:szCs w:val="20"/>
              </w:rPr>
              <w:t xml:space="preserve">Whether you consider yourself a computer expert or you’re not confident about your IT skills, we’re always around to ensure you get the level of support you need. We have a wealth of information and support available on the </w:t>
            </w:r>
            <w:hyperlink r:id="rId68" w:history="1">
              <w:r w:rsidRPr="00151960">
                <w:rPr>
                  <w:rStyle w:val="Hyperlink"/>
                  <w:rFonts w:ascii="Verdana" w:hAnsi="Verdana"/>
                  <w:sz w:val="20"/>
                  <w:szCs w:val="20"/>
                </w:rPr>
                <w:t>IT Services website</w:t>
              </w:r>
            </w:hyperlink>
            <w:r w:rsidRPr="00151960">
              <w:rPr>
                <w:rFonts w:ascii="Verdana" w:hAnsi="Verdana"/>
                <w:sz w:val="20"/>
                <w:szCs w:val="20"/>
              </w:rPr>
              <w:t xml:space="preserve"> and have a dedicated IT Service Desk where you can talk to someone by phone or log your question online from anywhere, at any time.</w:t>
            </w:r>
          </w:p>
          <w:p w14:paraId="117C3B45" w14:textId="77777777" w:rsidR="006B34D2" w:rsidRPr="004A6C54" w:rsidRDefault="006B34D2" w:rsidP="004D667C">
            <w:pPr>
              <w:spacing w:before="120" w:after="120"/>
              <w:rPr>
                <w:rFonts w:ascii="Verdana" w:eastAsia="Verdana" w:hAnsi="Verdana" w:cs="Verdana"/>
                <w:b/>
                <w:bCs/>
                <w:color w:val="201F1E"/>
                <w:sz w:val="20"/>
                <w:szCs w:val="20"/>
              </w:rPr>
            </w:pPr>
            <w:r w:rsidRPr="004A6C54">
              <w:rPr>
                <w:rFonts w:ascii="Verdana" w:eastAsia="Verdana" w:hAnsi="Verdana" w:cs="Verdana"/>
                <w:b/>
                <w:bCs/>
                <w:color w:val="201F1E"/>
                <w:sz w:val="20"/>
                <w:szCs w:val="20"/>
              </w:rPr>
              <w:t>University Cumbria Students’ Union (UCSU) Student Support</w:t>
            </w:r>
          </w:p>
          <w:p w14:paraId="6E142F3D" w14:textId="66AB1A08" w:rsidR="006B34D2" w:rsidRDefault="006B34D2" w:rsidP="004D667C">
            <w:pPr>
              <w:spacing w:before="120" w:after="120"/>
              <w:rPr>
                <w:rFonts w:ascii="Verdana" w:hAnsi="Verdana"/>
                <w:sz w:val="20"/>
                <w:szCs w:val="20"/>
              </w:rPr>
            </w:pPr>
            <w:r w:rsidRPr="004A6C54">
              <w:rPr>
                <w:rFonts w:ascii="Verdana" w:eastAsia="Verdana" w:hAnsi="Verdana" w:cs="Verdana"/>
                <w:color w:val="201F1E"/>
                <w:sz w:val="20"/>
                <w:szCs w:val="20"/>
              </w:rPr>
              <w:t xml:space="preserve">UCSU offers a free, </w:t>
            </w:r>
            <w:proofErr w:type="gramStart"/>
            <w:r w:rsidRPr="004A6C54">
              <w:rPr>
                <w:rFonts w:ascii="Verdana" w:eastAsia="Verdana" w:hAnsi="Verdana" w:cs="Verdana"/>
                <w:color w:val="201F1E"/>
                <w:sz w:val="20"/>
                <w:szCs w:val="20"/>
              </w:rPr>
              <w:t>independent</w:t>
            </w:r>
            <w:proofErr w:type="gramEnd"/>
            <w:r w:rsidRPr="004A6C54">
              <w:rPr>
                <w:rFonts w:ascii="Verdana" w:eastAsia="Verdana" w:hAnsi="Verdana" w:cs="Verdana"/>
                <w:color w:val="201F1E"/>
                <w:sz w:val="20"/>
                <w:szCs w:val="20"/>
              </w:rPr>
              <w:t xml:space="preserve"> and confidential advice service to all students. They can help with things like academic appeals, extenuating circumstances or if you’re considering a formal complaint. UCSU are also on hand to represent you in any formal meetings, for example in malpractice panels or fitness to practice meetings. Appointments are telephone based and can be booked at </w:t>
            </w:r>
            <w:hyperlink r:id="rId69" w:history="1">
              <w:r w:rsidRPr="004A6C54">
                <w:rPr>
                  <w:rStyle w:val="Hyperlink"/>
                  <w:rFonts w:ascii="Verdana" w:eastAsia="Verdana" w:hAnsi="Verdana" w:cs="Verdana"/>
                  <w:color w:val="954F72"/>
                  <w:sz w:val="20"/>
                  <w:szCs w:val="20"/>
                </w:rPr>
                <w:t>www.ucsu.me/support</w:t>
              </w:r>
            </w:hyperlink>
            <w:r w:rsidRPr="004A6C54">
              <w:rPr>
                <w:rFonts w:ascii="Verdana" w:eastAsia="Verdana" w:hAnsi="Verdana" w:cs="Verdana"/>
                <w:color w:val="1F497D"/>
                <w:sz w:val="20"/>
                <w:szCs w:val="20"/>
              </w:rPr>
              <w:t>.</w:t>
            </w:r>
            <w:r>
              <w:rPr>
                <w:rFonts w:ascii="Verdana" w:eastAsia="Verdana" w:hAnsi="Verdana" w:cs="Verdana"/>
                <w:color w:val="1F497D"/>
                <w:sz w:val="20"/>
                <w:szCs w:val="20"/>
              </w:rPr>
              <w:t xml:space="preserve"> </w:t>
            </w:r>
          </w:p>
        </w:tc>
      </w:tr>
      <w:bookmarkEnd w:id="0"/>
    </w:tbl>
    <w:p w14:paraId="118679A7" w14:textId="0F91F781" w:rsidR="4D69E6E4" w:rsidRDefault="4D69E6E4" w:rsidP="004D667C">
      <w:pPr>
        <w:spacing w:before="120" w:after="120"/>
      </w:pPr>
    </w:p>
    <w:p w14:paraId="6B699379" w14:textId="77777777" w:rsidR="006B34D2" w:rsidRDefault="006B34D2" w:rsidP="004D667C">
      <w:pPr>
        <w:spacing w:before="120" w:after="120"/>
        <w:rPr>
          <w:rFonts w:ascii="Verdana" w:hAnsi="Verdana"/>
        </w:rPr>
        <w:sectPr w:rsidR="006B34D2" w:rsidSect="00735953">
          <w:footerReference w:type="default" r:id="rId70"/>
          <w:headerReference w:type="first" r:id="rId71"/>
          <w:footerReference w:type="first" r:id="rId72"/>
          <w:pgSz w:w="11906" w:h="16838"/>
          <w:pgMar w:top="720" w:right="720" w:bottom="720" w:left="720" w:header="709" w:footer="709" w:gutter="0"/>
          <w:pgNumType w:start="1"/>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1504"/>
        <w:gridCol w:w="1536"/>
        <w:gridCol w:w="5309"/>
        <w:gridCol w:w="1256"/>
        <w:gridCol w:w="1816"/>
        <w:gridCol w:w="3967"/>
      </w:tblGrid>
      <w:tr w:rsidR="006B34D2" w14:paraId="2AE0303B" w14:textId="77777777" w:rsidTr="4D69E6E4">
        <w:tc>
          <w:tcPr>
            <w:tcW w:w="5000" w:type="pct"/>
            <w:gridSpan w:val="6"/>
            <w:tcBorders>
              <w:top w:val="single" w:sz="4" w:space="0" w:color="auto"/>
              <w:left w:val="single" w:sz="4" w:space="0" w:color="auto"/>
              <w:bottom w:val="single" w:sz="4" w:space="0" w:color="auto"/>
              <w:right w:val="single" w:sz="4" w:space="0" w:color="auto"/>
            </w:tcBorders>
            <w:shd w:val="clear" w:color="auto" w:fill="D6E3BC"/>
            <w:vAlign w:val="center"/>
            <w:hideMark/>
          </w:tcPr>
          <w:p w14:paraId="433BDA99" w14:textId="66CBA948" w:rsidR="006B34D2" w:rsidRPr="007721C5" w:rsidRDefault="006B34D2" w:rsidP="004D667C">
            <w:pPr>
              <w:spacing w:before="120" w:after="120"/>
              <w:rPr>
                <w:rFonts w:ascii="Verdana" w:hAnsi="Verdana"/>
                <w:b/>
                <w:bCs/>
              </w:rPr>
            </w:pPr>
            <w:r w:rsidRPr="4D69E6E4">
              <w:rPr>
                <w:rFonts w:ascii="Verdana" w:hAnsi="Verdana"/>
                <w:b/>
                <w:bCs/>
              </w:rPr>
              <w:lastRenderedPageBreak/>
              <w:t>Programme Curriculum Map</w:t>
            </w:r>
            <w:r w:rsidR="2C8B2B5E" w:rsidRPr="4D69E6E4">
              <w:rPr>
                <w:rFonts w:ascii="Verdana" w:hAnsi="Verdana"/>
                <w:b/>
                <w:bCs/>
              </w:rPr>
              <w:t xml:space="preserve"> (Blended Learning)</w:t>
            </w:r>
          </w:p>
        </w:tc>
      </w:tr>
      <w:tr w:rsidR="006B34D2" w14:paraId="4F8F8FF5" w14:textId="77777777" w:rsidTr="4D69E6E4">
        <w:tc>
          <w:tcPr>
            <w:tcW w:w="489" w:type="pct"/>
            <w:tcBorders>
              <w:top w:val="single" w:sz="4" w:space="0" w:color="auto"/>
              <w:left w:val="single" w:sz="4" w:space="0" w:color="auto"/>
              <w:bottom w:val="single" w:sz="4" w:space="0" w:color="auto"/>
              <w:right w:val="single" w:sz="4" w:space="0" w:color="auto"/>
            </w:tcBorders>
            <w:shd w:val="clear" w:color="auto" w:fill="D6E3BC"/>
            <w:vAlign w:val="center"/>
            <w:hideMark/>
          </w:tcPr>
          <w:p w14:paraId="7A4368B2" w14:textId="77777777" w:rsidR="006B34D2" w:rsidRDefault="006B34D2" w:rsidP="004D667C">
            <w:pPr>
              <w:spacing w:before="120" w:after="120"/>
              <w:jc w:val="center"/>
              <w:rPr>
                <w:rFonts w:ascii="Verdana" w:hAnsi="Verdana"/>
                <w:b/>
              </w:rPr>
            </w:pPr>
            <w:r>
              <w:rPr>
                <w:rFonts w:ascii="Verdana" w:hAnsi="Verdana"/>
                <w:b/>
              </w:rPr>
              <w:t>Academic Level</w:t>
            </w:r>
          </w:p>
        </w:tc>
        <w:tc>
          <w:tcPr>
            <w:tcW w:w="499" w:type="pct"/>
            <w:tcBorders>
              <w:top w:val="single" w:sz="4" w:space="0" w:color="auto"/>
              <w:left w:val="single" w:sz="4" w:space="0" w:color="auto"/>
              <w:bottom w:val="single" w:sz="4" w:space="0" w:color="auto"/>
              <w:right w:val="single" w:sz="4" w:space="0" w:color="auto"/>
            </w:tcBorders>
            <w:shd w:val="clear" w:color="auto" w:fill="D6E3BC"/>
            <w:vAlign w:val="center"/>
            <w:hideMark/>
          </w:tcPr>
          <w:p w14:paraId="2A49128C" w14:textId="77777777" w:rsidR="006B34D2" w:rsidRDefault="006B34D2" w:rsidP="004D667C">
            <w:pPr>
              <w:spacing w:before="120" w:after="120"/>
              <w:jc w:val="center"/>
              <w:rPr>
                <w:rFonts w:ascii="Verdana" w:hAnsi="Verdana"/>
                <w:b/>
              </w:rPr>
            </w:pPr>
            <w:r>
              <w:rPr>
                <w:rFonts w:ascii="Verdana" w:hAnsi="Verdana"/>
                <w:b/>
              </w:rPr>
              <w:t>Module Code</w:t>
            </w:r>
          </w:p>
        </w:tc>
        <w:tc>
          <w:tcPr>
            <w:tcW w:w="1725" w:type="pct"/>
            <w:tcBorders>
              <w:top w:val="single" w:sz="4" w:space="0" w:color="auto"/>
              <w:left w:val="single" w:sz="4" w:space="0" w:color="auto"/>
              <w:bottom w:val="single" w:sz="4" w:space="0" w:color="auto"/>
              <w:right w:val="single" w:sz="4" w:space="0" w:color="auto"/>
            </w:tcBorders>
            <w:shd w:val="clear" w:color="auto" w:fill="D6E3BC"/>
            <w:vAlign w:val="center"/>
            <w:hideMark/>
          </w:tcPr>
          <w:p w14:paraId="52FBC274" w14:textId="77777777" w:rsidR="006B34D2" w:rsidRDefault="006B34D2" w:rsidP="004D667C">
            <w:pPr>
              <w:spacing w:before="120" w:after="120"/>
              <w:jc w:val="center"/>
              <w:rPr>
                <w:rFonts w:ascii="Verdana" w:hAnsi="Verdana"/>
                <w:b/>
                <w:sz w:val="20"/>
              </w:rPr>
            </w:pPr>
            <w:r>
              <w:rPr>
                <w:rFonts w:ascii="Verdana" w:hAnsi="Verdana"/>
                <w:b/>
              </w:rPr>
              <w:t>Module Title</w:t>
            </w:r>
          </w:p>
        </w:tc>
        <w:tc>
          <w:tcPr>
            <w:tcW w:w="408" w:type="pct"/>
            <w:tcBorders>
              <w:top w:val="single" w:sz="4" w:space="0" w:color="auto"/>
              <w:left w:val="single" w:sz="4" w:space="0" w:color="auto"/>
              <w:bottom w:val="single" w:sz="4" w:space="0" w:color="auto"/>
              <w:right w:val="single" w:sz="4" w:space="0" w:color="auto"/>
            </w:tcBorders>
            <w:shd w:val="clear" w:color="auto" w:fill="D6E3BC"/>
            <w:vAlign w:val="center"/>
            <w:hideMark/>
          </w:tcPr>
          <w:p w14:paraId="62A8F16E" w14:textId="4EA75F51" w:rsidR="0047129E" w:rsidRDefault="006B34D2" w:rsidP="004D667C">
            <w:pPr>
              <w:spacing w:before="120" w:after="120"/>
              <w:jc w:val="center"/>
              <w:rPr>
                <w:rFonts w:ascii="Verdana" w:hAnsi="Verdana"/>
                <w:b/>
              </w:rPr>
            </w:pPr>
            <w:r>
              <w:rPr>
                <w:rFonts w:ascii="Verdana" w:hAnsi="Verdana"/>
                <w:b/>
              </w:rPr>
              <w:t>Credits</w:t>
            </w:r>
          </w:p>
        </w:tc>
        <w:tc>
          <w:tcPr>
            <w:tcW w:w="590" w:type="pct"/>
            <w:tcBorders>
              <w:top w:val="single" w:sz="4" w:space="0" w:color="auto"/>
              <w:left w:val="single" w:sz="4" w:space="0" w:color="auto"/>
              <w:bottom w:val="single" w:sz="4" w:space="0" w:color="auto"/>
              <w:right w:val="single" w:sz="4" w:space="0" w:color="auto"/>
            </w:tcBorders>
            <w:shd w:val="clear" w:color="auto" w:fill="D6E3BC"/>
            <w:vAlign w:val="center"/>
            <w:hideMark/>
          </w:tcPr>
          <w:p w14:paraId="6E68D9AA" w14:textId="77777777" w:rsidR="006B34D2" w:rsidRDefault="006B34D2" w:rsidP="004D667C">
            <w:pPr>
              <w:spacing w:before="120" w:after="120"/>
              <w:jc w:val="center"/>
              <w:rPr>
                <w:rFonts w:ascii="Verdana" w:hAnsi="Verdana"/>
                <w:b/>
                <w:sz w:val="20"/>
              </w:rPr>
            </w:pPr>
            <w:r>
              <w:rPr>
                <w:rFonts w:ascii="Verdana" w:hAnsi="Verdana"/>
                <w:b/>
              </w:rPr>
              <w:t>Module Status</w:t>
            </w:r>
            <w:r>
              <w:rPr>
                <w:rFonts w:ascii="Verdana" w:hAnsi="Verdana"/>
                <w:b/>
                <w:vertAlign w:val="superscript"/>
              </w:rPr>
              <w:t>*</w:t>
            </w:r>
          </w:p>
        </w:tc>
        <w:tc>
          <w:tcPr>
            <w:tcW w:w="1289" w:type="pct"/>
            <w:tcBorders>
              <w:top w:val="single" w:sz="4" w:space="0" w:color="auto"/>
              <w:left w:val="single" w:sz="4" w:space="0" w:color="auto"/>
              <w:bottom w:val="single" w:sz="4" w:space="0" w:color="auto"/>
              <w:right w:val="single" w:sz="4" w:space="0" w:color="auto"/>
            </w:tcBorders>
            <w:shd w:val="clear" w:color="auto" w:fill="D6E3BC"/>
            <w:vAlign w:val="center"/>
            <w:hideMark/>
          </w:tcPr>
          <w:p w14:paraId="4282CDC0" w14:textId="77777777" w:rsidR="006B34D2" w:rsidRDefault="006B34D2" w:rsidP="004D667C">
            <w:pPr>
              <w:spacing w:before="120" w:after="120"/>
              <w:jc w:val="center"/>
              <w:rPr>
                <w:rFonts w:ascii="Verdana" w:hAnsi="Verdana"/>
                <w:b/>
                <w:sz w:val="20"/>
              </w:rPr>
            </w:pPr>
            <w:r>
              <w:rPr>
                <w:rFonts w:ascii="Verdana" w:hAnsi="Verdana"/>
                <w:b/>
              </w:rPr>
              <w:t>Programme Outcomes achieved</w:t>
            </w:r>
          </w:p>
        </w:tc>
      </w:tr>
      <w:tr w:rsidR="00B72DE5" w14:paraId="3071A6BE" w14:textId="77777777" w:rsidTr="4D69E6E4">
        <w:tc>
          <w:tcPr>
            <w:tcW w:w="489" w:type="pct"/>
            <w:shd w:val="clear" w:color="auto" w:fill="FFFFFF" w:themeFill="background1"/>
            <w:vAlign w:val="center"/>
          </w:tcPr>
          <w:p w14:paraId="3FE9F23F" w14:textId="01EC2104" w:rsidR="00B72DE5" w:rsidRDefault="00B72DE5" w:rsidP="004D667C">
            <w:pPr>
              <w:spacing w:before="120" w:after="120"/>
              <w:jc w:val="center"/>
              <w:rPr>
                <w:rFonts w:ascii="Verdana" w:hAnsi="Verdana"/>
                <w:sz w:val="20"/>
              </w:rPr>
            </w:pPr>
            <w:r>
              <w:rPr>
                <w:rFonts w:ascii="Verdana" w:hAnsi="Verdana"/>
                <w:sz w:val="20"/>
              </w:rPr>
              <w:t>7</w:t>
            </w:r>
          </w:p>
        </w:tc>
        <w:tc>
          <w:tcPr>
            <w:tcW w:w="499" w:type="pct"/>
            <w:shd w:val="clear" w:color="auto" w:fill="FFFFFF" w:themeFill="background1"/>
            <w:vAlign w:val="center"/>
          </w:tcPr>
          <w:p w14:paraId="1F72F646" w14:textId="5CFCAD49" w:rsidR="007721C5" w:rsidRDefault="00B8044E" w:rsidP="004D667C">
            <w:pPr>
              <w:spacing w:before="120" w:after="120"/>
              <w:jc w:val="center"/>
              <w:rPr>
                <w:rFonts w:ascii="Verdana" w:hAnsi="Verdana"/>
                <w:sz w:val="20"/>
              </w:rPr>
            </w:pPr>
            <w:r>
              <w:rPr>
                <w:rFonts w:ascii="Verdana" w:hAnsi="Verdana"/>
                <w:sz w:val="20"/>
              </w:rPr>
              <w:t>HPHN7416</w:t>
            </w:r>
          </w:p>
        </w:tc>
        <w:tc>
          <w:tcPr>
            <w:tcW w:w="1725" w:type="pct"/>
            <w:shd w:val="clear" w:color="auto" w:fill="FFFFFF" w:themeFill="background1"/>
            <w:vAlign w:val="center"/>
          </w:tcPr>
          <w:p w14:paraId="08CE6F91" w14:textId="5EBC7960" w:rsidR="00B72DE5" w:rsidRDefault="00B72DE5" w:rsidP="004D667C">
            <w:pPr>
              <w:spacing w:before="120" w:after="120"/>
              <w:jc w:val="center"/>
              <w:rPr>
                <w:rFonts w:ascii="Verdana" w:hAnsi="Verdana"/>
                <w:sz w:val="20"/>
              </w:rPr>
            </w:pPr>
            <w:r w:rsidRPr="002C23A9">
              <w:rPr>
                <w:rFonts w:ascii="Verdana" w:eastAsia="Verdana" w:hAnsi="Verdana"/>
                <w:sz w:val="20"/>
              </w:rPr>
              <w:t>Independent Prescribing for Pharmacists</w:t>
            </w:r>
          </w:p>
        </w:tc>
        <w:tc>
          <w:tcPr>
            <w:tcW w:w="408" w:type="pct"/>
            <w:shd w:val="clear" w:color="auto" w:fill="FFFFFF" w:themeFill="background1"/>
            <w:vAlign w:val="center"/>
          </w:tcPr>
          <w:p w14:paraId="61CDCEAD" w14:textId="7F89372E" w:rsidR="00B72DE5" w:rsidRDefault="00B72DE5" w:rsidP="004D667C">
            <w:pPr>
              <w:spacing w:before="120" w:after="120"/>
              <w:jc w:val="center"/>
              <w:rPr>
                <w:rFonts w:ascii="Verdana" w:hAnsi="Verdana"/>
                <w:sz w:val="20"/>
              </w:rPr>
            </w:pPr>
            <w:r>
              <w:rPr>
                <w:rFonts w:ascii="Verdana" w:hAnsi="Verdana"/>
                <w:sz w:val="20"/>
              </w:rPr>
              <w:t>40</w:t>
            </w:r>
          </w:p>
        </w:tc>
        <w:tc>
          <w:tcPr>
            <w:tcW w:w="590" w:type="pct"/>
            <w:shd w:val="clear" w:color="auto" w:fill="FFFFFF" w:themeFill="background1"/>
            <w:vAlign w:val="center"/>
          </w:tcPr>
          <w:p w14:paraId="6BB9E253" w14:textId="4E16E1B6" w:rsidR="00B72DE5" w:rsidRDefault="00B72DE5" w:rsidP="004D667C">
            <w:pPr>
              <w:spacing w:before="120" w:after="120"/>
              <w:jc w:val="center"/>
              <w:rPr>
                <w:rFonts w:ascii="Verdana" w:hAnsi="Verdana"/>
                <w:sz w:val="20"/>
              </w:rPr>
            </w:pPr>
            <w:r w:rsidRPr="003417C3">
              <w:rPr>
                <w:rFonts w:ascii="Verdana" w:hAnsi="Verdana"/>
                <w:sz w:val="20"/>
              </w:rPr>
              <w:t>Core</w:t>
            </w:r>
          </w:p>
        </w:tc>
        <w:tc>
          <w:tcPr>
            <w:tcW w:w="1289" w:type="pct"/>
            <w:shd w:val="clear" w:color="auto" w:fill="FFFFFF" w:themeFill="background1"/>
            <w:vAlign w:val="center"/>
            <w:hideMark/>
          </w:tcPr>
          <w:p w14:paraId="014CEADA" w14:textId="77777777" w:rsidR="00B72DE5" w:rsidRPr="003417C3" w:rsidRDefault="00B72DE5" w:rsidP="004D667C">
            <w:pPr>
              <w:spacing w:before="120" w:after="120"/>
              <w:jc w:val="center"/>
              <w:rPr>
                <w:rFonts w:ascii="Verdana" w:hAnsi="Verdana"/>
                <w:sz w:val="20"/>
              </w:rPr>
            </w:pPr>
            <w:r w:rsidRPr="003417C3">
              <w:rPr>
                <w:rFonts w:ascii="Verdana" w:hAnsi="Verdana"/>
                <w:sz w:val="20"/>
              </w:rPr>
              <w:t xml:space="preserve">K1.1-1.6, K2.1-2.9, K3.1-3.11, K4.1-4.6 </w:t>
            </w:r>
          </w:p>
          <w:p w14:paraId="78CBA543" w14:textId="7EDA59ED" w:rsidR="00B72DE5" w:rsidRDefault="00B72DE5" w:rsidP="004D667C">
            <w:pPr>
              <w:spacing w:before="120" w:after="120"/>
              <w:jc w:val="center"/>
              <w:rPr>
                <w:rFonts w:ascii="Verdana" w:hAnsi="Verdana"/>
                <w:color w:val="FF0000"/>
                <w:sz w:val="20"/>
              </w:rPr>
            </w:pPr>
            <w:r w:rsidRPr="003417C3">
              <w:rPr>
                <w:rFonts w:ascii="Verdana" w:hAnsi="Verdana"/>
                <w:sz w:val="20"/>
              </w:rPr>
              <w:t xml:space="preserve">S1.1-1.6, S2.1-2.9, S3.1-3.11, S4.1-4.6 </w:t>
            </w:r>
          </w:p>
        </w:tc>
      </w:tr>
      <w:tr w:rsidR="006B34D2" w14:paraId="25546E3C" w14:textId="77777777" w:rsidTr="4D69E6E4">
        <w:tc>
          <w:tcPr>
            <w:tcW w:w="5000" w:type="pct"/>
            <w:gridSpan w:val="6"/>
            <w:tcBorders>
              <w:top w:val="single" w:sz="4" w:space="0" w:color="auto"/>
              <w:left w:val="single" w:sz="4" w:space="0" w:color="auto"/>
              <w:bottom w:val="single" w:sz="4" w:space="0" w:color="auto"/>
              <w:right w:val="single" w:sz="4" w:space="0" w:color="auto"/>
            </w:tcBorders>
            <w:shd w:val="clear" w:color="auto" w:fill="D6E3BC"/>
            <w:vAlign w:val="center"/>
            <w:hideMark/>
          </w:tcPr>
          <w:p w14:paraId="4707AF9E" w14:textId="77777777" w:rsidR="006B34D2" w:rsidRDefault="006B34D2" w:rsidP="004D667C">
            <w:pPr>
              <w:spacing w:before="120" w:after="120"/>
              <w:rPr>
                <w:rFonts w:ascii="Verdana" w:hAnsi="Verdana" w:cs="Arial"/>
                <w:b/>
                <w:sz w:val="20"/>
                <w:szCs w:val="20"/>
              </w:rPr>
            </w:pPr>
            <w:r>
              <w:rPr>
                <w:rFonts w:ascii="Verdana" w:hAnsi="Verdana" w:cs="Arial"/>
                <w:b/>
                <w:szCs w:val="20"/>
              </w:rPr>
              <w:t>Notes</w:t>
            </w:r>
          </w:p>
        </w:tc>
      </w:tr>
      <w:tr w:rsidR="006B34D2" w14:paraId="77D294BF" w14:textId="77777777" w:rsidTr="4D69E6E4">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30CA1C2" w14:textId="77777777" w:rsidR="00B72DE5" w:rsidRPr="00B72DE5" w:rsidRDefault="00B72DE5" w:rsidP="004D667C">
            <w:pPr>
              <w:spacing w:before="120" w:after="120"/>
              <w:jc w:val="both"/>
              <w:rPr>
                <w:rFonts w:ascii="Verdana" w:hAnsi="Verdana" w:cs="Arial"/>
                <w:sz w:val="20"/>
                <w:szCs w:val="20"/>
              </w:rPr>
            </w:pPr>
            <w:r w:rsidRPr="00B72DE5">
              <w:rPr>
                <w:rFonts w:ascii="Verdana" w:hAnsi="Verdana" w:cs="Arial"/>
                <w:sz w:val="20"/>
                <w:szCs w:val="20"/>
              </w:rPr>
              <w:t>This programme operates in accordance with the University’s Academic Regulations and Academic Procedures and Processes with the following permitted exceptions due to the requirements of the General Pharmaceutical Council that:</w:t>
            </w:r>
          </w:p>
          <w:p w14:paraId="46A67BBF" w14:textId="77777777" w:rsidR="00B72DE5" w:rsidRPr="00B72DE5" w:rsidRDefault="00B72DE5" w:rsidP="004D667C">
            <w:pPr>
              <w:spacing w:before="120" w:after="120"/>
              <w:jc w:val="both"/>
              <w:rPr>
                <w:rFonts w:ascii="Verdana" w:hAnsi="Verdana" w:cs="Arial"/>
                <w:i/>
                <w:sz w:val="20"/>
                <w:szCs w:val="20"/>
              </w:rPr>
            </w:pPr>
            <w:r w:rsidRPr="00B72DE5">
              <w:rPr>
                <w:rFonts w:ascii="Verdana" w:hAnsi="Verdana" w:cs="Arial"/>
                <w:i/>
                <w:sz w:val="20"/>
                <w:szCs w:val="20"/>
              </w:rPr>
              <w:t>In any assessment, a failure to identify a serious problem or an answer which would cause the patient harm, should result in overall failure of the programme.</w:t>
            </w:r>
          </w:p>
          <w:p w14:paraId="7BE63A5B" w14:textId="77777777" w:rsidR="00B72DE5" w:rsidRPr="00B72DE5" w:rsidRDefault="00B72DE5" w:rsidP="004D667C">
            <w:pPr>
              <w:spacing w:before="120" w:after="120"/>
              <w:jc w:val="both"/>
              <w:rPr>
                <w:rFonts w:ascii="Verdana" w:hAnsi="Verdana" w:cs="Arial"/>
                <w:sz w:val="20"/>
                <w:szCs w:val="20"/>
              </w:rPr>
            </w:pPr>
            <w:r w:rsidRPr="00B72DE5">
              <w:rPr>
                <w:rFonts w:ascii="Verdana" w:hAnsi="Verdana" w:cs="Arial"/>
                <w:sz w:val="20"/>
                <w:szCs w:val="20"/>
              </w:rPr>
              <w:t>Please also note that:</w:t>
            </w:r>
          </w:p>
          <w:p w14:paraId="4A59AB72" w14:textId="5F9896D3" w:rsidR="00B72DE5" w:rsidRPr="00B72DE5" w:rsidRDefault="7AEC9978" w:rsidP="004D667C">
            <w:pPr>
              <w:numPr>
                <w:ilvl w:val="0"/>
                <w:numId w:val="29"/>
              </w:numPr>
              <w:spacing w:before="120" w:after="120"/>
              <w:jc w:val="both"/>
              <w:rPr>
                <w:rFonts w:ascii="Verdana" w:hAnsi="Verdana" w:cs="Arial"/>
                <w:sz w:val="20"/>
                <w:szCs w:val="20"/>
              </w:rPr>
            </w:pPr>
            <w:r w:rsidRPr="4D69E6E4">
              <w:rPr>
                <w:rFonts w:ascii="Verdana" w:hAnsi="Verdana" w:cs="Arial"/>
                <w:sz w:val="20"/>
                <w:szCs w:val="20"/>
              </w:rPr>
              <w:t>all assessments must be successfully passed to be eligible for the University Award of Independent Prescribing for Pharmacists</w:t>
            </w:r>
            <w:r w:rsidR="50EC9DEA" w:rsidRPr="4D69E6E4">
              <w:rPr>
                <w:rFonts w:ascii="Verdana" w:hAnsi="Verdana" w:cs="Arial"/>
                <w:sz w:val="20"/>
                <w:szCs w:val="20"/>
              </w:rPr>
              <w:t xml:space="preserve"> (Practice Certificate in Independent Prescribing).</w:t>
            </w:r>
            <w:r w:rsidRPr="4D69E6E4">
              <w:rPr>
                <w:rFonts w:ascii="Verdana" w:hAnsi="Verdana" w:cs="Arial"/>
                <w:sz w:val="20"/>
                <w:szCs w:val="20"/>
              </w:rPr>
              <w:t xml:space="preserve"> For students on this programme, </w:t>
            </w:r>
            <w:r w:rsidR="00635A20">
              <w:rPr>
                <w:rFonts w:ascii="Verdana" w:hAnsi="Verdana" w:cs="Arial"/>
                <w:sz w:val="20"/>
                <w:szCs w:val="20"/>
              </w:rPr>
              <w:t>compensation (</w:t>
            </w:r>
            <w:r w:rsidRPr="4D69E6E4">
              <w:rPr>
                <w:rFonts w:ascii="Verdana" w:hAnsi="Verdana" w:cs="Arial"/>
                <w:sz w:val="20"/>
                <w:szCs w:val="20"/>
              </w:rPr>
              <w:t>condonement</w:t>
            </w:r>
            <w:r w:rsidR="00635A20">
              <w:rPr>
                <w:rFonts w:ascii="Verdana" w:hAnsi="Verdana" w:cs="Arial"/>
                <w:sz w:val="20"/>
                <w:szCs w:val="20"/>
              </w:rPr>
              <w:t>)</w:t>
            </w:r>
            <w:r w:rsidRPr="4D69E6E4">
              <w:rPr>
                <w:rFonts w:ascii="Verdana" w:hAnsi="Verdana" w:cs="Arial"/>
                <w:sz w:val="20"/>
                <w:szCs w:val="20"/>
              </w:rPr>
              <w:t xml:space="preserve"> will not apply.</w:t>
            </w:r>
          </w:p>
          <w:p w14:paraId="6D130DF3" w14:textId="77777777" w:rsidR="00B72DE5" w:rsidRPr="00B72DE5" w:rsidRDefault="00B72DE5" w:rsidP="004D667C">
            <w:pPr>
              <w:numPr>
                <w:ilvl w:val="0"/>
                <w:numId w:val="29"/>
              </w:numPr>
              <w:spacing w:before="120" w:after="120"/>
              <w:jc w:val="both"/>
              <w:rPr>
                <w:rFonts w:ascii="Verdana" w:hAnsi="Verdana" w:cs="Arial"/>
                <w:sz w:val="20"/>
                <w:szCs w:val="20"/>
              </w:rPr>
            </w:pPr>
            <w:r w:rsidRPr="0FE78FCB">
              <w:rPr>
                <w:rFonts w:ascii="Verdana" w:hAnsi="Verdana" w:cs="Arial"/>
                <w:sz w:val="20"/>
                <w:szCs w:val="20"/>
              </w:rPr>
              <w:t xml:space="preserve">in summative assessment, inaccuracies in numeracy will be deemed to be unsafe practice and result in a </w:t>
            </w:r>
            <w:bookmarkStart w:id="1" w:name="_Int_muBLV5Lo"/>
            <w:proofErr w:type="gramStart"/>
            <w:r w:rsidRPr="0FE78FCB">
              <w:rPr>
                <w:rFonts w:ascii="Verdana" w:hAnsi="Verdana" w:cs="Arial"/>
                <w:sz w:val="20"/>
                <w:szCs w:val="20"/>
              </w:rPr>
              <w:t>fail</w:t>
            </w:r>
            <w:bookmarkEnd w:id="1"/>
            <w:proofErr w:type="gramEnd"/>
            <w:r w:rsidRPr="0FE78FCB">
              <w:rPr>
                <w:rFonts w:ascii="Verdana" w:hAnsi="Verdana" w:cs="Arial"/>
                <w:sz w:val="20"/>
                <w:szCs w:val="20"/>
              </w:rPr>
              <w:t xml:space="preserve"> grade for the module. </w:t>
            </w:r>
          </w:p>
          <w:p w14:paraId="0F0B25CE" w14:textId="7488CCE6" w:rsidR="00B72DE5" w:rsidRPr="00B72DE5" w:rsidRDefault="7AEC9978" w:rsidP="004D667C">
            <w:pPr>
              <w:spacing w:before="120" w:after="120"/>
              <w:jc w:val="both"/>
              <w:rPr>
                <w:rFonts w:ascii="Verdana" w:hAnsi="Verdana" w:cs="Arial"/>
                <w:sz w:val="20"/>
                <w:szCs w:val="20"/>
              </w:rPr>
            </w:pPr>
            <w:r w:rsidRPr="4D69E6E4">
              <w:rPr>
                <w:rFonts w:ascii="Verdana" w:hAnsi="Verdana" w:cs="Arial"/>
                <w:sz w:val="20"/>
                <w:szCs w:val="20"/>
              </w:rPr>
              <w:t>Concerns regarding the student's practice will be managed according to the University’s Fitness to Practise Policy and Procedures (20</w:t>
            </w:r>
            <w:r w:rsidR="2D499371" w:rsidRPr="4D69E6E4">
              <w:rPr>
                <w:rFonts w:ascii="Verdana" w:hAnsi="Verdana" w:cs="Arial"/>
                <w:sz w:val="20"/>
                <w:szCs w:val="20"/>
              </w:rPr>
              <w:t>21</w:t>
            </w:r>
            <w:r w:rsidRPr="4D69E6E4">
              <w:rPr>
                <w:rFonts w:ascii="Verdana" w:hAnsi="Verdana" w:cs="Arial"/>
                <w:sz w:val="20"/>
                <w:szCs w:val="20"/>
              </w:rPr>
              <w:t xml:space="preserve">) which are aligned to professional body standards and the Student Code of Conduct. </w:t>
            </w:r>
          </w:p>
          <w:p w14:paraId="2EEEDF5F" w14:textId="39B6137F" w:rsidR="00B72DE5" w:rsidRDefault="00B72DE5" w:rsidP="004D667C">
            <w:pPr>
              <w:spacing w:before="120" w:after="120"/>
              <w:rPr>
                <w:rFonts w:cs="Arial"/>
                <w:i/>
                <w:iCs/>
                <w:color w:val="C00000"/>
              </w:rPr>
            </w:pPr>
            <w:r w:rsidRPr="00B72DE5">
              <w:rPr>
                <w:rFonts w:ascii="Verdana" w:eastAsia="Verdana" w:hAnsi="Verdana" w:cs="Arial"/>
                <w:sz w:val="20"/>
                <w:szCs w:val="20"/>
              </w:rPr>
              <w:t xml:space="preserve">Pharmacist independent prescribers in training should note that </w:t>
            </w:r>
            <w:r w:rsidRPr="00B72DE5">
              <w:rPr>
                <w:rFonts w:ascii="Verdana" w:eastAsia="Verdana" w:hAnsi="Verdana"/>
                <w:sz w:val="20"/>
                <w:szCs w:val="20"/>
              </w:rPr>
              <w:t xml:space="preserve">they may not prescribe until they have successfully completed the programme and their registration with the </w:t>
            </w:r>
            <w:proofErr w:type="spellStart"/>
            <w:r w:rsidRPr="00B72DE5">
              <w:rPr>
                <w:rFonts w:ascii="Verdana" w:eastAsia="Verdana" w:hAnsi="Verdana"/>
                <w:sz w:val="20"/>
                <w:szCs w:val="20"/>
              </w:rPr>
              <w:t>GPhC</w:t>
            </w:r>
            <w:proofErr w:type="spellEnd"/>
            <w:r w:rsidRPr="00B72DE5">
              <w:rPr>
                <w:rFonts w:ascii="Verdana" w:eastAsia="Verdana" w:hAnsi="Verdana"/>
                <w:sz w:val="20"/>
                <w:szCs w:val="20"/>
              </w:rPr>
              <w:t xml:space="preserve"> is annotated accordingly.</w:t>
            </w:r>
          </w:p>
          <w:p w14:paraId="703DF85A" w14:textId="252E10D7" w:rsidR="006B34D2" w:rsidRPr="006264BC" w:rsidRDefault="475B4BC7" w:rsidP="004D667C">
            <w:pPr>
              <w:spacing w:before="120" w:after="120"/>
              <w:rPr>
                <w:rFonts w:ascii="Verdana" w:hAnsi="Verdana" w:cs="Arial"/>
                <w:i/>
                <w:iCs/>
                <w:color w:val="C00000"/>
                <w:sz w:val="20"/>
                <w:szCs w:val="20"/>
              </w:rPr>
            </w:pPr>
            <w:r w:rsidRPr="0FE78FCB">
              <w:rPr>
                <w:rStyle w:val="normaltextrun"/>
                <w:rFonts w:ascii="Verdana" w:hAnsi="Verdana"/>
                <w:color w:val="000000" w:themeColor="text1"/>
                <w:sz w:val="20"/>
                <w:szCs w:val="20"/>
              </w:rPr>
              <w:t>Where a student has not succeeded in their programme, they will be permitted to re-register on the same programme</w:t>
            </w:r>
            <w:r w:rsidR="3EA69841" w:rsidRPr="0FE78FCB">
              <w:rPr>
                <w:rStyle w:val="normaltextrun"/>
                <w:rFonts w:ascii="Verdana" w:hAnsi="Verdana"/>
                <w:color w:val="000000" w:themeColor="text1"/>
                <w:sz w:val="20"/>
                <w:szCs w:val="20"/>
              </w:rPr>
              <w:t xml:space="preserve">, but a new application form must be </w:t>
            </w:r>
            <w:proofErr w:type="gramStart"/>
            <w:r w:rsidR="3EA69841" w:rsidRPr="0FE78FCB">
              <w:rPr>
                <w:rStyle w:val="normaltextrun"/>
                <w:rFonts w:ascii="Verdana" w:hAnsi="Verdana"/>
                <w:color w:val="000000" w:themeColor="text1"/>
                <w:sz w:val="20"/>
                <w:szCs w:val="20"/>
              </w:rPr>
              <w:t>submitted</w:t>
            </w:r>
            <w:proofErr w:type="gramEnd"/>
            <w:r w:rsidR="3EA69841" w:rsidRPr="0FE78FCB">
              <w:rPr>
                <w:rStyle w:val="normaltextrun"/>
                <w:rFonts w:ascii="Verdana" w:hAnsi="Verdana"/>
                <w:color w:val="000000" w:themeColor="text1"/>
                <w:sz w:val="20"/>
                <w:szCs w:val="20"/>
              </w:rPr>
              <w:t xml:space="preserve"> and the criteria met.</w:t>
            </w:r>
          </w:p>
        </w:tc>
      </w:tr>
    </w:tbl>
    <w:p w14:paraId="1A965116" w14:textId="01360553" w:rsidR="006B34D2" w:rsidRDefault="006B34D2" w:rsidP="004D667C">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12907"/>
      </w:tblGrid>
      <w:tr w:rsidR="006B34D2" w14:paraId="3853D67C" w14:textId="77777777" w:rsidTr="006B34D2">
        <w:tc>
          <w:tcPr>
            <w:tcW w:w="5000" w:type="pct"/>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14:paraId="705B52D9" w14:textId="77777777" w:rsidR="006B34D2" w:rsidRDefault="006B34D2" w:rsidP="004D667C">
            <w:pPr>
              <w:spacing w:before="120" w:after="120"/>
              <w:rPr>
                <w:rFonts w:ascii="Verdana" w:hAnsi="Verdana" w:cs="Arial"/>
                <w:b/>
              </w:rPr>
            </w:pPr>
            <w:r>
              <w:rPr>
                <w:rFonts w:ascii="Verdana" w:hAnsi="Verdana"/>
              </w:rPr>
              <w:lastRenderedPageBreak/>
              <w:t xml:space="preserve">* </w:t>
            </w:r>
            <w:r>
              <w:rPr>
                <w:rFonts w:ascii="Verdana" w:hAnsi="Verdana"/>
                <w:b/>
              </w:rPr>
              <w:t>Key to Module Statuses</w:t>
            </w:r>
          </w:p>
        </w:tc>
      </w:tr>
      <w:tr w:rsidR="006B34D2" w14:paraId="10CD6977" w14:textId="77777777" w:rsidTr="006B34D2">
        <w:tc>
          <w:tcPr>
            <w:tcW w:w="806" w:type="pct"/>
            <w:tcBorders>
              <w:top w:val="single" w:sz="4" w:space="0" w:color="auto"/>
              <w:left w:val="single" w:sz="4" w:space="0" w:color="auto"/>
              <w:bottom w:val="single" w:sz="4" w:space="0" w:color="auto"/>
              <w:right w:val="single" w:sz="4" w:space="0" w:color="auto"/>
            </w:tcBorders>
            <w:vAlign w:val="center"/>
            <w:hideMark/>
          </w:tcPr>
          <w:p w14:paraId="23A0F934" w14:textId="77777777" w:rsidR="006B34D2" w:rsidRDefault="006B34D2" w:rsidP="004D667C">
            <w:pPr>
              <w:spacing w:before="120" w:after="120"/>
              <w:rPr>
                <w:rFonts w:ascii="Verdana" w:hAnsi="Verdana"/>
                <w:sz w:val="20"/>
                <w:szCs w:val="20"/>
              </w:rPr>
            </w:pPr>
            <w:r>
              <w:rPr>
                <w:rFonts w:ascii="Verdana" w:hAnsi="Verdana"/>
                <w:sz w:val="20"/>
                <w:szCs w:val="20"/>
              </w:rPr>
              <w:t>Core Modules</w:t>
            </w:r>
          </w:p>
        </w:tc>
        <w:tc>
          <w:tcPr>
            <w:tcW w:w="4194" w:type="pct"/>
            <w:tcBorders>
              <w:top w:val="single" w:sz="4" w:space="0" w:color="auto"/>
              <w:left w:val="single" w:sz="4" w:space="0" w:color="auto"/>
              <w:bottom w:val="single" w:sz="4" w:space="0" w:color="auto"/>
              <w:right w:val="single" w:sz="4" w:space="0" w:color="auto"/>
            </w:tcBorders>
            <w:vAlign w:val="center"/>
            <w:hideMark/>
          </w:tcPr>
          <w:p w14:paraId="065FB3C2" w14:textId="1980637E" w:rsidR="006B34D2" w:rsidRDefault="006B34D2" w:rsidP="004D667C">
            <w:pPr>
              <w:spacing w:before="120" w:after="120"/>
              <w:rPr>
                <w:rFonts w:ascii="Verdana" w:hAnsi="Verdana"/>
                <w:sz w:val="20"/>
                <w:szCs w:val="20"/>
              </w:rPr>
            </w:pPr>
            <w:r>
              <w:rPr>
                <w:rFonts w:ascii="Verdana" w:hAnsi="Verdana"/>
                <w:sz w:val="20"/>
                <w:szCs w:val="20"/>
              </w:rPr>
              <w:t>Must be taken and must be successfully passed</w:t>
            </w:r>
            <w:r w:rsidR="008C0465">
              <w:rPr>
                <w:rFonts w:ascii="Verdana" w:hAnsi="Verdana"/>
                <w:sz w:val="20"/>
                <w:szCs w:val="20"/>
              </w:rPr>
              <w:t>.</w:t>
            </w:r>
          </w:p>
        </w:tc>
      </w:tr>
    </w:tbl>
    <w:p w14:paraId="7DF4E37C" w14:textId="77777777" w:rsidR="006B34D2" w:rsidRDefault="006B34D2" w:rsidP="004D667C">
      <w:pPr>
        <w:spacing w:before="120" w:after="120"/>
        <w:rPr>
          <w:rFonts w:ascii="Verdana" w:hAnsi="Verdana"/>
          <w:sz w:val="18"/>
          <w:szCs w:val="18"/>
        </w:rPr>
      </w:pPr>
    </w:p>
    <w:p w14:paraId="44FB30F8" w14:textId="77777777" w:rsidR="006B34D2" w:rsidRDefault="006B34D2" w:rsidP="004D667C">
      <w:pPr>
        <w:spacing w:before="120" w:after="120"/>
        <w:rPr>
          <w:rFonts w:ascii="Verdana" w:hAnsi="Verdana"/>
        </w:rPr>
        <w:sectPr w:rsidR="006B34D2">
          <w:pgSz w:w="16838" w:h="11906" w:orient="landscape"/>
          <w:pgMar w:top="720" w:right="720" w:bottom="720" w:left="720"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1504"/>
        <w:gridCol w:w="5167"/>
        <w:gridCol w:w="3075"/>
        <w:gridCol w:w="3352"/>
        <w:gridCol w:w="2290"/>
      </w:tblGrid>
      <w:tr w:rsidR="006B34D2" w14:paraId="18A30D30" w14:textId="77777777" w:rsidTr="0FE78FCB">
        <w:tc>
          <w:tcPr>
            <w:tcW w:w="5000" w:type="pct"/>
            <w:gridSpan w:val="5"/>
            <w:tcBorders>
              <w:top w:val="single" w:sz="4" w:space="0" w:color="auto"/>
              <w:left w:val="single" w:sz="4" w:space="0" w:color="auto"/>
              <w:bottom w:val="single" w:sz="4" w:space="0" w:color="auto"/>
              <w:right w:val="single" w:sz="4" w:space="0" w:color="auto"/>
            </w:tcBorders>
            <w:shd w:val="clear" w:color="auto" w:fill="D6E3BC"/>
            <w:vAlign w:val="center"/>
            <w:hideMark/>
          </w:tcPr>
          <w:p w14:paraId="2A8DAFEE" w14:textId="487145AD" w:rsidR="006B34D2" w:rsidRPr="00BB3ABB" w:rsidRDefault="006B34D2" w:rsidP="004D667C">
            <w:pPr>
              <w:spacing w:before="120" w:after="120"/>
              <w:rPr>
                <w:rFonts w:ascii="Verdana" w:hAnsi="Verdana"/>
                <w:b/>
                <w:color w:val="C00000"/>
              </w:rPr>
            </w:pPr>
            <w:r>
              <w:rPr>
                <w:rFonts w:ascii="Verdana" w:hAnsi="Verdana"/>
                <w:b/>
              </w:rPr>
              <w:lastRenderedPageBreak/>
              <w:t xml:space="preserve">Programme Delivery Structure: </w:t>
            </w:r>
            <w:r w:rsidR="00607D19" w:rsidRPr="00607D19">
              <w:rPr>
                <w:rFonts w:ascii="Verdana" w:hAnsi="Verdana"/>
                <w:b/>
              </w:rPr>
              <w:t xml:space="preserve">Part Time </w:t>
            </w:r>
            <w:r w:rsidR="00607D19" w:rsidRPr="00EF2D8F">
              <w:rPr>
                <w:rFonts w:ascii="Verdana" w:hAnsi="Verdana"/>
                <w:b/>
              </w:rPr>
              <w:t>(Blended Learning)</w:t>
            </w:r>
          </w:p>
        </w:tc>
      </w:tr>
      <w:tr w:rsidR="006B34D2" w14:paraId="25BE89EA" w14:textId="77777777" w:rsidTr="0FE78FCB">
        <w:trPr>
          <w:trHeight w:val="405"/>
        </w:trPr>
        <w:tc>
          <w:tcPr>
            <w:tcW w:w="489" w:type="pct"/>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14:paraId="423DA81B" w14:textId="77777777" w:rsidR="006B34D2" w:rsidRDefault="006B34D2" w:rsidP="004D667C">
            <w:pPr>
              <w:spacing w:before="120" w:after="120"/>
              <w:jc w:val="center"/>
              <w:rPr>
                <w:rFonts w:ascii="Verdana" w:hAnsi="Verdana"/>
                <w:b/>
              </w:rPr>
            </w:pPr>
            <w:r>
              <w:rPr>
                <w:rFonts w:ascii="Verdana" w:hAnsi="Verdana"/>
                <w:b/>
              </w:rPr>
              <w:t>Module Code</w:t>
            </w:r>
          </w:p>
        </w:tc>
        <w:tc>
          <w:tcPr>
            <w:tcW w:w="1679" w:type="pct"/>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14:paraId="5266DA17" w14:textId="77777777" w:rsidR="006B34D2" w:rsidRDefault="006B34D2" w:rsidP="004D667C">
            <w:pPr>
              <w:spacing w:before="120" w:after="120"/>
              <w:jc w:val="center"/>
              <w:rPr>
                <w:rFonts w:ascii="Verdana" w:hAnsi="Verdana"/>
                <w:b/>
              </w:rPr>
            </w:pPr>
            <w:r>
              <w:rPr>
                <w:rFonts w:ascii="Verdana" w:hAnsi="Verdana"/>
                <w:b/>
              </w:rPr>
              <w:t>Module Title</w:t>
            </w:r>
          </w:p>
        </w:tc>
        <w:tc>
          <w:tcPr>
            <w:tcW w:w="999" w:type="pct"/>
            <w:tcBorders>
              <w:top w:val="single" w:sz="4" w:space="0" w:color="auto"/>
              <w:left w:val="single" w:sz="4" w:space="0" w:color="auto"/>
              <w:bottom w:val="single" w:sz="4" w:space="0" w:color="auto"/>
              <w:right w:val="single" w:sz="4" w:space="0" w:color="auto"/>
            </w:tcBorders>
            <w:shd w:val="clear" w:color="auto" w:fill="D6E3BC"/>
            <w:vAlign w:val="center"/>
            <w:hideMark/>
          </w:tcPr>
          <w:p w14:paraId="4EC98CBB" w14:textId="77777777" w:rsidR="006B34D2" w:rsidRPr="00275FD8" w:rsidRDefault="006B34D2" w:rsidP="004D667C">
            <w:pPr>
              <w:spacing w:before="120" w:after="120"/>
              <w:jc w:val="center"/>
              <w:rPr>
                <w:rFonts w:ascii="Verdana" w:hAnsi="Verdana"/>
                <w:b/>
              </w:rPr>
            </w:pPr>
            <w:r w:rsidRPr="00275FD8">
              <w:rPr>
                <w:rFonts w:ascii="Verdana" w:hAnsi="Verdana"/>
                <w:b/>
              </w:rPr>
              <w:t>Delivery Pattern</w:t>
            </w:r>
          </w:p>
        </w:tc>
        <w:tc>
          <w:tcPr>
            <w:tcW w:w="1089" w:type="pct"/>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14:paraId="2528BCC0" w14:textId="0A869E2C" w:rsidR="006B34D2" w:rsidRPr="00275FD8" w:rsidRDefault="006B34D2" w:rsidP="004D667C">
            <w:pPr>
              <w:spacing w:before="120" w:after="120"/>
              <w:jc w:val="center"/>
              <w:rPr>
                <w:rFonts w:ascii="Verdana" w:hAnsi="Verdana"/>
                <w:b/>
              </w:rPr>
            </w:pPr>
            <w:r w:rsidRPr="00275FD8">
              <w:rPr>
                <w:rFonts w:ascii="Verdana" w:hAnsi="Verdana"/>
                <w:b/>
              </w:rPr>
              <w:t xml:space="preserve">Method(s) of </w:t>
            </w:r>
            <w:r w:rsidR="00635A20" w:rsidRPr="00275FD8">
              <w:rPr>
                <w:rFonts w:ascii="Verdana" w:hAnsi="Verdana"/>
                <w:b/>
              </w:rPr>
              <w:t>Assessment</w:t>
            </w:r>
          </w:p>
        </w:tc>
        <w:tc>
          <w:tcPr>
            <w:tcW w:w="744" w:type="pct"/>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14:paraId="26DDCAEC" w14:textId="5E0743E3" w:rsidR="007B01A0" w:rsidRPr="004D3279" w:rsidRDefault="006B34D2" w:rsidP="004D667C">
            <w:pPr>
              <w:spacing w:before="120" w:after="120"/>
              <w:jc w:val="center"/>
              <w:rPr>
                <w:rFonts w:ascii="Verdana" w:hAnsi="Verdana"/>
                <w:b/>
              </w:rPr>
            </w:pPr>
            <w:r w:rsidRPr="00275FD8">
              <w:rPr>
                <w:rFonts w:ascii="Verdana" w:hAnsi="Verdana"/>
                <w:b/>
              </w:rPr>
              <w:t>Indicative week number of Assessment Deadline</w:t>
            </w:r>
          </w:p>
        </w:tc>
      </w:tr>
      <w:tr w:rsidR="006B34D2" w14:paraId="38073005" w14:textId="77777777" w:rsidTr="0FE78FCB">
        <w:trPr>
          <w:trHeight w:val="405"/>
        </w:trPr>
        <w:tc>
          <w:tcPr>
            <w:tcW w:w="0" w:type="auto"/>
            <w:vMerge/>
            <w:vAlign w:val="center"/>
            <w:hideMark/>
          </w:tcPr>
          <w:p w14:paraId="19BDA91B" w14:textId="77777777" w:rsidR="006B34D2" w:rsidRDefault="006B34D2" w:rsidP="004D667C">
            <w:pPr>
              <w:spacing w:before="120" w:after="120"/>
              <w:rPr>
                <w:rFonts w:ascii="Verdana" w:hAnsi="Verdana"/>
                <w:b/>
              </w:rPr>
            </w:pPr>
          </w:p>
        </w:tc>
        <w:tc>
          <w:tcPr>
            <w:tcW w:w="0" w:type="auto"/>
            <w:vMerge/>
            <w:vAlign w:val="center"/>
            <w:hideMark/>
          </w:tcPr>
          <w:p w14:paraId="1C0D3525" w14:textId="77777777" w:rsidR="006B34D2" w:rsidRDefault="006B34D2" w:rsidP="004D667C">
            <w:pPr>
              <w:spacing w:before="120" w:after="120"/>
              <w:rPr>
                <w:rFonts w:ascii="Verdana" w:hAnsi="Verdana"/>
                <w:b/>
              </w:rPr>
            </w:pPr>
          </w:p>
        </w:tc>
        <w:tc>
          <w:tcPr>
            <w:tcW w:w="999" w:type="pct"/>
            <w:tcBorders>
              <w:top w:val="single" w:sz="4" w:space="0" w:color="auto"/>
              <w:left w:val="single" w:sz="4" w:space="0" w:color="auto"/>
              <w:bottom w:val="single" w:sz="4" w:space="0" w:color="auto"/>
              <w:right w:val="single" w:sz="4" w:space="0" w:color="auto"/>
            </w:tcBorders>
            <w:shd w:val="clear" w:color="auto" w:fill="D6E3BC"/>
            <w:vAlign w:val="center"/>
            <w:hideMark/>
          </w:tcPr>
          <w:p w14:paraId="41BC9918" w14:textId="77777777" w:rsidR="006B34D2" w:rsidRPr="00275FD8" w:rsidRDefault="006B34D2" w:rsidP="004D667C">
            <w:pPr>
              <w:spacing w:before="120" w:after="120"/>
              <w:jc w:val="center"/>
              <w:rPr>
                <w:rFonts w:ascii="Verdana" w:hAnsi="Verdana"/>
                <w:b/>
              </w:rPr>
            </w:pPr>
            <w:r w:rsidRPr="00275FD8">
              <w:rPr>
                <w:rFonts w:ascii="Verdana" w:hAnsi="Verdana"/>
                <w:b/>
              </w:rPr>
              <w:t>Sept – Dec</w:t>
            </w:r>
          </w:p>
          <w:p w14:paraId="7B4A0096" w14:textId="77777777" w:rsidR="006B34D2" w:rsidRPr="00275FD8" w:rsidRDefault="006B34D2" w:rsidP="004D667C">
            <w:pPr>
              <w:spacing w:before="120" w:after="120"/>
              <w:jc w:val="center"/>
              <w:rPr>
                <w:rFonts w:ascii="Verdana" w:hAnsi="Verdana"/>
                <w:b/>
              </w:rPr>
            </w:pPr>
            <w:r w:rsidRPr="00275FD8">
              <w:rPr>
                <w:rFonts w:ascii="Verdana" w:hAnsi="Verdana"/>
                <w:b/>
              </w:rPr>
              <w:t>Jan – May</w:t>
            </w:r>
          </w:p>
          <w:p w14:paraId="610576A6" w14:textId="224A67EE" w:rsidR="00D8620D" w:rsidRPr="004D3279" w:rsidRDefault="006B34D2" w:rsidP="004D667C">
            <w:pPr>
              <w:spacing w:before="120" w:after="120"/>
              <w:jc w:val="center"/>
              <w:rPr>
                <w:rFonts w:ascii="Verdana" w:hAnsi="Verdana"/>
                <w:b/>
              </w:rPr>
            </w:pPr>
            <w:r w:rsidRPr="00DA1935">
              <w:rPr>
                <w:rFonts w:ascii="Verdana" w:hAnsi="Verdana"/>
                <w:b/>
              </w:rPr>
              <w:t xml:space="preserve">June </w:t>
            </w:r>
            <w:r w:rsidR="00D8620D" w:rsidRPr="00DA1935">
              <w:rPr>
                <w:rFonts w:ascii="Verdana" w:hAnsi="Verdana"/>
                <w:b/>
              </w:rPr>
              <w:t>–</w:t>
            </w:r>
            <w:r w:rsidRPr="00DA1935">
              <w:rPr>
                <w:rFonts w:ascii="Verdana" w:hAnsi="Verdana"/>
                <w:b/>
              </w:rPr>
              <w:t xml:space="preserve"> Aug</w:t>
            </w:r>
          </w:p>
        </w:tc>
        <w:tc>
          <w:tcPr>
            <w:tcW w:w="0" w:type="auto"/>
            <w:vMerge/>
            <w:vAlign w:val="center"/>
            <w:hideMark/>
          </w:tcPr>
          <w:p w14:paraId="29A59765" w14:textId="77777777" w:rsidR="006B34D2" w:rsidRPr="00275FD8" w:rsidRDefault="006B34D2" w:rsidP="004D667C">
            <w:pPr>
              <w:spacing w:before="120" w:after="120"/>
              <w:rPr>
                <w:rFonts w:ascii="Verdana" w:hAnsi="Verdana"/>
                <w:b/>
              </w:rPr>
            </w:pPr>
          </w:p>
        </w:tc>
        <w:tc>
          <w:tcPr>
            <w:tcW w:w="0" w:type="auto"/>
            <w:vMerge/>
            <w:vAlign w:val="center"/>
            <w:hideMark/>
          </w:tcPr>
          <w:p w14:paraId="50ADD668" w14:textId="77777777" w:rsidR="006B34D2" w:rsidRPr="00275FD8" w:rsidRDefault="006B34D2" w:rsidP="004D667C">
            <w:pPr>
              <w:spacing w:before="120" w:after="120"/>
              <w:rPr>
                <w:rFonts w:ascii="Verdana" w:hAnsi="Verdana"/>
                <w:b/>
              </w:rPr>
            </w:pPr>
          </w:p>
        </w:tc>
      </w:tr>
      <w:tr w:rsidR="006264BC" w14:paraId="43CABD37" w14:textId="77777777" w:rsidTr="0FE78FCB">
        <w:tc>
          <w:tcPr>
            <w:tcW w:w="489" w:type="pct"/>
            <w:shd w:val="clear" w:color="auto" w:fill="FFFFFF" w:themeFill="background1"/>
            <w:vAlign w:val="center"/>
          </w:tcPr>
          <w:p w14:paraId="06C9FA4D" w14:textId="5DFB4B7D" w:rsidR="00C57AFE" w:rsidRDefault="006264BC" w:rsidP="004D667C">
            <w:pPr>
              <w:spacing w:before="120" w:after="120"/>
              <w:jc w:val="center"/>
              <w:rPr>
                <w:rFonts w:ascii="Verdana" w:hAnsi="Verdana"/>
                <w:sz w:val="20"/>
                <w:szCs w:val="20"/>
              </w:rPr>
            </w:pPr>
            <w:r>
              <w:rPr>
                <w:rFonts w:ascii="Verdana" w:hAnsi="Verdana"/>
                <w:sz w:val="20"/>
                <w:szCs w:val="20"/>
              </w:rPr>
              <w:t>HPHN741</w:t>
            </w:r>
            <w:r w:rsidR="00B8044E">
              <w:rPr>
                <w:rFonts w:ascii="Verdana" w:hAnsi="Verdana"/>
                <w:sz w:val="20"/>
                <w:szCs w:val="20"/>
              </w:rPr>
              <w:t>6</w:t>
            </w:r>
          </w:p>
        </w:tc>
        <w:tc>
          <w:tcPr>
            <w:tcW w:w="1679" w:type="pct"/>
            <w:shd w:val="clear" w:color="auto" w:fill="FFFFFF" w:themeFill="background1"/>
            <w:vAlign w:val="center"/>
          </w:tcPr>
          <w:p w14:paraId="0D93FE38" w14:textId="7972AE82" w:rsidR="006264BC" w:rsidRDefault="006264BC" w:rsidP="004D667C">
            <w:pPr>
              <w:spacing w:before="120" w:after="120"/>
              <w:jc w:val="center"/>
              <w:rPr>
                <w:rFonts w:ascii="Verdana" w:hAnsi="Verdana"/>
                <w:sz w:val="20"/>
                <w:szCs w:val="20"/>
              </w:rPr>
            </w:pPr>
            <w:r w:rsidRPr="00CF5FB8">
              <w:rPr>
                <w:rFonts w:ascii="Verdana" w:eastAsia="Verdana" w:hAnsi="Verdana"/>
                <w:sz w:val="20"/>
                <w:szCs w:val="20"/>
              </w:rPr>
              <w:t>Independent Prescribing for Pharmacists</w:t>
            </w:r>
          </w:p>
        </w:tc>
        <w:tc>
          <w:tcPr>
            <w:tcW w:w="999" w:type="pct"/>
            <w:shd w:val="clear" w:color="auto" w:fill="FFFFFF" w:themeFill="background1"/>
            <w:vAlign w:val="center"/>
          </w:tcPr>
          <w:p w14:paraId="3F9DB746" w14:textId="77777777" w:rsidR="006264BC" w:rsidRDefault="006264BC" w:rsidP="004D667C">
            <w:pPr>
              <w:spacing w:before="120" w:after="120"/>
              <w:jc w:val="center"/>
              <w:rPr>
                <w:rFonts w:ascii="Verdana" w:hAnsi="Verdana"/>
                <w:sz w:val="20"/>
                <w:szCs w:val="20"/>
              </w:rPr>
            </w:pPr>
            <w:r w:rsidRPr="00FA77E7">
              <w:rPr>
                <w:rFonts w:ascii="Verdana" w:hAnsi="Verdana"/>
                <w:sz w:val="20"/>
                <w:szCs w:val="20"/>
              </w:rPr>
              <w:t xml:space="preserve">Normally </w:t>
            </w:r>
            <w:r>
              <w:rPr>
                <w:rFonts w:ascii="Verdana" w:hAnsi="Verdana"/>
                <w:sz w:val="20"/>
                <w:szCs w:val="20"/>
              </w:rPr>
              <w:t>delivered over a period of 1</w:t>
            </w:r>
            <w:r w:rsidRPr="00613161">
              <w:rPr>
                <w:rFonts w:ascii="Verdana" w:hAnsi="Verdana"/>
                <w:sz w:val="20"/>
                <w:szCs w:val="20"/>
              </w:rPr>
              <w:t>8-20</w:t>
            </w:r>
            <w:r>
              <w:rPr>
                <w:rFonts w:ascii="Verdana" w:hAnsi="Verdana"/>
                <w:sz w:val="20"/>
                <w:szCs w:val="20"/>
              </w:rPr>
              <w:t xml:space="preserve"> weeks</w:t>
            </w:r>
          </w:p>
          <w:p w14:paraId="208CD09F" w14:textId="77777777" w:rsidR="006264BC" w:rsidRDefault="006264BC" w:rsidP="004D667C">
            <w:pPr>
              <w:spacing w:before="120" w:after="120"/>
              <w:jc w:val="center"/>
              <w:rPr>
                <w:rFonts w:ascii="Verdana" w:hAnsi="Verdana"/>
                <w:sz w:val="20"/>
                <w:szCs w:val="20"/>
              </w:rPr>
            </w:pPr>
          </w:p>
          <w:p w14:paraId="552C3595" w14:textId="1BB4430D" w:rsidR="006264BC" w:rsidRDefault="4E95A315" w:rsidP="004D667C">
            <w:pPr>
              <w:spacing w:before="120" w:after="120"/>
              <w:jc w:val="center"/>
              <w:rPr>
                <w:rFonts w:ascii="Verdana" w:hAnsi="Verdana"/>
                <w:sz w:val="20"/>
                <w:szCs w:val="20"/>
              </w:rPr>
            </w:pPr>
            <w:r w:rsidRPr="0FE78FCB">
              <w:rPr>
                <w:rFonts w:ascii="Verdana" w:hAnsi="Verdana"/>
                <w:sz w:val="20"/>
                <w:szCs w:val="20"/>
              </w:rPr>
              <w:t>However, may be delivered over a period of 12-26 weeks where delivery arrangements are indicated</w:t>
            </w:r>
          </w:p>
          <w:p w14:paraId="018C5E33" w14:textId="77777777" w:rsidR="006264BC" w:rsidRPr="00D8620D" w:rsidRDefault="006264BC" w:rsidP="004D667C">
            <w:pPr>
              <w:spacing w:before="120" w:after="120"/>
              <w:jc w:val="center"/>
              <w:rPr>
                <w:rFonts w:ascii="Verdana" w:hAnsi="Verdana"/>
                <w:sz w:val="20"/>
                <w:szCs w:val="20"/>
              </w:rPr>
            </w:pPr>
          </w:p>
        </w:tc>
        <w:tc>
          <w:tcPr>
            <w:tcW w:w="1089" w:type="pct"/>
            <w:shd w:val="clear" w:color="auto" w:fill="FFFFFF" w:themeFill="background1"/>
          </w:tcPr>
          <w:p w14:paraId="1C107C75" w14:textId="0BB3E5F4" w:rsidR="006264BC" w:rsidRPr="00726900" w:rsidRDefault="4E95A315" w:rsidP="004D667C">
            <w:pPr>
              <w:spacing w:before="120" w:after="120"/>
              <w:jc w:val="center"/>
              <w:rPr>
                <w:rFonts w:ascii="Verdana" w:eastAsia="Times New Roman" w:hAnsi="Verdana" w:cs="Arial"/>
                <w:sz w:val="20"/>
                <w:szCs w:val="20"/>
                <w:lang w:eastAsia="en-GB"/>
              </w:rPr>
            </w:pPr>
            <w:r w:rsidRPr="0FE78FCB">
              <w:rPr>
                <w:rFonts w:ascii="Verdana" w:eastAsia="Times New Roman" w:hAnsi="Verdana" w:cs="Arial"/>
                <w:b/>
                <w:bCs/>
                <w:sz w:val="20"/>
                <w:szCs w:val="20"/>
                <w:lang w:eastAsia="en-GB"/>
              </w:rPr>
              <w:t>Formative</w:t>
            </w:r>
            <w:r w:rsidRPr="0FE78FCB">
              <w:rPr>
                <w:rFonts w:ascii="Verdana" w:eastAsia="Times New Roman" w:hAnsi="Verdana" w:cs="Arial"/>
                <w:sz w:val="20"/>
                <w:szCs w:val="20"/>
                <w:lang w:eastAsia="en-GB"/>
              </w:rPr>
              <w:t xml:space="preserve">: </w:t>
            </w:r>
            <w:r w:rsidRPr="0FE78FCB">
              <w:rPr>
                <w:rFonts w:ascii="Verdana" w:hAnsi="Verdana"/>
                <w:noProof/>
                <w:sz w:val="20"/>
                <w:szCs w:val="20"/>
              </w:rPr>
              <w:t>Assessment in practice, portfolio development and prescription writing exercise</w:t>
            </w:r>
          </w:p>
          <w:p w14:paraId="3F835A7D" w14:textId="77777777" w:rsidR="006264BC" w:rsidRPr="00726900" w:rsidRDefault="006264BC" w:rsidP="004D667C">
            <w:pPr>
              <w:spacing w:before="120" w:after="120"/>
              <w:jc w:val="center"/>
              <w:rPr>
                <w:rFonts w:ascii="Verdana" w:eastAsia="Times New Roman" w:hAnsi="Verdana" w:cs="Arial"/>
                <w:b/>
                <w:sz w:val="20"/>
                <w:szCs w:val="20"/>
                <w:lang w:eastAsia="en-GB"/>
              </w:rPr>
            </w:pPr>
          </w:p>
          <w:p w14:paraId="2D3339EA" w14:textId="77777777" w:rsidR="006264BC" w:rsidRPr="00726900" w:rsidRDefault="006264BC" w:rsidP="004D667C">
            <w:pPr>
              <w:spacing w:before="120" w:after="120"/>
              <w:jc w:val="center"/>
              <w:rPr>
                <w:rFonts w:ascii="Verdana" w:eastAsia="Times New Roman" w:hAnsi="Verdana" w:cs="Arial"/>
                <w:b/>
                <w:sz w:val="20"/>
                <w:szCs w:val="20"/>
                <w:lang w:eastAsia="en-GB"/>
              </w:rPr>
            </w:pPr>
            <w:r w:rsidRPr="00726900">
              <w:rPr>
                <w:rFonts w:ascii="Verdana" w:eastAsia="Times New Roman" w:hAnsi="Verdana" w:cs="Arial"/>
                <w:b/>
                <w:sz w:val="20"/>
                <w:szCs w:val="20"/>
                <w:lang w:eastAsia="en-GB"/>
              </w:rPr>
              <w:t>Summative:</w:t>
            </w:r>
          </w:p>
          <w:p w14:paraId="21418AF2" w14:textId="77777777" w:rsidR="006264BC" w:rsidRPr="00360C1E" w:rsidRDefault="006264BC" w:rsidP="004D667C">
            <w:pPr>
              <w:spacing w:before="120" w:after="120"/>
              <w:jc w:val="center"/>
              <w:rPr>
                <w:rFonts w:ascii="Verdana" w:eastAsia="Times New Roman" w:hAnsi="Verdana" w:cs="Arial"/>
                <w:b/>
                <w:sz w:val="20"/>
                <w:szCs w:val="20"/>
                <w:lang w:eastAsia="en-GB"/>
              </w:rPr>
            </w:pPr>
            <w:r w:rsidRPr="00360C1E">
              <w:rPr>
                <w:rFonts w:ascii="Verdana" w:eastAsia="Times New Roman" w:hAnsi="Verdana" w:cs="Arial"/>
                <w:b/>
                <w:sz w:val="20"/>
                <w:szCs w:val="20"/>
                <w:lang w:eastAsia="en-GB"/>
              </w:rPr>
              <w:t>Practical skills assessment:</w:t>
            </w:r>
          </w:p>
          <w:p w14:paraId="6A7C1D95" w14:textId="77777777" w:rsidR="006264BC" w:rsidRPr="00360C1E" w:rsidRDefault="006264BC" w:rsidP="004D667C">
            <w:pPr>
              <w:spacing w:before="120" w:after="120"/>
              <w:jc w:val="center"/>
              <w:rPr>
                <w:rFonts w:ascii="Verdana" w:eastAsia="Times New Roman" w:hAnsi="Verdana" w:cs="Arial"/>
                <w:sz w:val="20"/>
                <w:szCs w:val="20"/>
                <w:lang w:eastAsia="en-GB"/>
              </w:rPr>
            </w:pPr>
            <w:proofErr w:type="spellStart"/>
            <w:r w:rsidRPr="00360C1E">
              <w:rPr>
                <w:rFonts w:ascii="Verdana" w:eastAsia="Times New Roman" w:hAnsi="Verdana" w:cs="Arial"/>
                <w:sz w:val="20"/>
                <w:szCs w:val="20"/>
                <w:lang w:eastAsia="en-GB"/>
              </w:rPr>
              <w:t>Qualificatory</w:t>
            </w:r>
            <w:proofErr w:type="spellEnd"/>
            <w:r w:rsidRPr="00360C1E">
              <w:rPr>
                <w:rFonts w:ascii="Verdana" w:eastAsia="Times New Roman" w:hAnsi="Verdana" w:cs="Arial"/>
                <w:sz w:val="20"/>
                <w:szCs w:val="20"/>
                <w:lang w:eastAsia="en-GB"/>
              </w:rPr>
              <w:t>: Pass/Fail</w:t>
            </w:r>
          </w:p>
          <w:p w14:paraId="3687DBC2" w14:textId="77777777" w:rsidR="006264BC" w:rsidRPr="00360C1E" w:rsidRDefault="006264BC" w:rsidP="004D667C">
            <w:pPr>
              <w:spacing w:before="120" w:after="120"/>
              <w:jc w:val="center"/>
              <w:rPr>
                <w:rFonts w:ascii="Verdana" w:eastAsia="Times New Roman" w:hAnsi="Verdana" w:cs="Arial"/>
                <w:sz w:val="20"/>
                <w:szCs w:val="20"/>
                <w:lang w:eastAsia="en-GB"/>
              </w:rPr>
            </w:pPr>
            <w:r w:rsidRPr="00360C1E">
              <w:rPr>
                <w:rFonts w:ascii="Verdana" w:eastAsia="Times New Roman" w:hAnsi="Verdana" w:cs="Arial"/>
                <w:sz w:val="20"/>
                <w:szCs w:val="20"/>
                <w:lang w:eastAsia="en-GB"/>
              </w:rPr>
              <w:t xml:space="preserve">achievement of all competencies in practice, record of learning and supervised learning hours assessed by DPP in </w:t>
            </w:r>
            <w:r w:rsidRPr="00360C1E">
              <w:rPr>
                <w:rFonts w:ascii="Verdana" w:eastAsia="Verdana" w:hAnsi="Verdana"/>
                <w:sz w:val="20"/>
                <w:szCs w:val="20"/>
              </w:rPr>
              <w:t xml:space="preserve">the context of clinical </w:t>
            </w:r>
            <w:proofErr w:type="gramStart"/>
            <w:r w:rsidRPr="00360C1E">
              <w:rPr>
                <w:rFonts w:ascii="Verdana" w:eastAsia="Verdana" w:hAnsi="Verdana"/>
                <w:sz w:val="20"/>
                <w:szCs w:val="20"/>
              </w:rPr>
              <w:t>practice;</w:t>
            </w:r>
            <w:proofErr w:type="gramEnd"/>
          </w:p>
          <w:p w14:paraId="15067A45" w14:textId="77777777" w:rsidR="006264BC" w:rsidRPr="00360C1E" w:rsidRDefault="006264BC" w:rsidP="004D667C">
            <w:pPr>
              <w:spacing w:before="120" w:after="120"/>
              <w:jc w:val="center"/>
              <w:rPr>
                <w:rFonts w:ascii="Verdana" w:eastAsia="Times New Roman" w:hAnsi="Verdana" w:cs="Arial"/>
                <w:sz w:val="20"/>
                <w:szCs w:val="20"/>
                <w:lang w:eastAsia="en-GB"/>
              </w:rPr>
            </w:pPr>
          </w:p>
          <w:p w14:paraId="348D65E9" w14:textId="77777777" w:rsidR="006264BC" w:rsidRPr="00360C1E" w:rsidRDefault="006264BC" w:rsidP="004D667C">
            <w:pPr>
              <w:spacing w:before="120" w:after="120"/>
              <w:jc w:val="center"/>
              <w:rPr>
                <w:rFonts w:ascii="Verdana" w:eastAsia="Times New Roman" w:hAnsi="Verdana" w:cs="Arial"/>
                <w:sz w:val="20"/>
                <w:szCs w:val="20"/>
                <w:lang w:eastAsia="en-GB"/>
              </w:rPr>
            </w:pPr>
            <w:r w:rsidRPr="00360C1E">
              <w:rPr>
                <w:rFonts w:ascii="Verdana" w:eastAsia="Times New Roman" w:hAnsi="Verdana" w:cs="Arial"/>
                <w:b/>
                <w:sz w:val="20"/>
                <w:szCs w:val="20"/>
                <w:lang w:eastAsia="en-GB"/>
              </w:rPr>
              <w:t>Set exercise assessment:</w:t>
            </w:r>
          </w:p>
          <w:p w14:paraId="2F8B6201" w14:textId="77777777" w:rsidR="006264BC" w:rsidRPr="00360C1E" w:rsidRDefault="006264BC" w:rsidP="004D667C">
            <w:pPr>
              <w:spacing w:before="120" w:after="120"/>
              <w:jc w:val="center"/>
              <w:rPr>
                <w:rFonts w:ascii="Verdana" w:eastAsia="Times New Roman" w:hAnsi="Verdana" w:cs="Arial"/>
                <w:sz w:val="20"/>
                <w:szCs w:val="20"/>
                <w:lang w:eastAsia="en-GB"/>
              </w:rPr>
            </w:pPr>
            <w:proofErr w:type="spellStart"/>
            <w:r w:rsidRPr="00360C1E">
              <w:rPr>
                <w:rFonts w:ascii="Verdana" w:eastAsia="Times New Roman" w:hAnsi="Verdana" w:cs="Arial"/>
                <w:sz w:val="20"/>
                <w:szCs w:val="20"/>
                <w:lang w:eastAsia="en-GB"/>
              </w:rPr>
              <w:t>Qualificatory</w:t>
            </w:r>
            <w:proofErr w:type="spellEnd"/>
            <w:r w:rsidRPr="00360C1E">
              <w:rPr>
                <w:rFonts w:ascii="Verdana" w:eastAsia="Times New Roman" w:hAnsi="Verdana" w:cs="Arial"/>
                <w:sz w:val="20"/>
                <w:szCs w:val="20"/>
                <w:lang w:eastAsia="en-GB"/>
              </w:rPr>
              <w:t>: Pass/Fail</w:t>
            </w:r>
          </w:p>
          <w:p w14:paraId="113B8959" w14:textId="2704AFDE" w:rsidR="006264BC" w:rsidRPr="00360C1E" w:rsidRDefault="4E95A315" w:rsidP="004D667C">
            <w:pPr>
              <w:spacing w:before="120" w:after="120"/>
              <w:jc w:val="center"/>
              <w:rPr>
                <w:rFonts w:ascii="Verdana" w:eastAsia="Times New Roman" w:hAnsi="Verdana" w:cs="Arial"/>
                <w:sz w:val="20"/>
                <w:szCs w:val="20"/>
                <w:lang w:eastAsia="en-GB"/>
              </w:rPr>
            </w:pPr>
            <w:r w:rsidRPr="0FE78FCB">
              <w:rPr>
                <w:rFonts w:ascii="Verdana" w:eastAsia="Verdana" w:hAnsi="Verdana"/>
                <w:sz w:val="20"/>
                <w:szCs w:val="20"/>
              </w:rPr>
              <w:t xml:space="preserve">practical demonstration of clinical and prescribing skills </w:t>
            </w:r>
            <w:r w:rsidRPr="00D156B8">
              <w:rPr>
                <w:rFonts w:ascii="Verdana" w:eastAsia="Verdana" w:hAnsi="Verdana"/>
                <w:sz w:val="20"/>
                <w:szCs w:val="20"/>
              </w:rPr>
              <w:t>and</w:t>
            </w:r>
            <w:r w:rsidR="00D266F1" w:rsidRPr="00D156B8">
              <w:rPr>
                <w:rFonts w:ascii="Verdana" w:eastAsia="Verdana" w:hAnsi="Verdana"/>
                <w:sz w:val="20"/>
                <w:szCs w:val="20"/>
              </w:rPr>
              <w:t xml:space="preserve"> Direct Observation of </w:t>
            </w:r>
            <w:r w:rsidR="00D266F1" w:rsidRPr="00D156B8">
              <w:rPr>
                <w:rFonts w:ascii="Verdana" w:eastAsia="Verdana" w:hAnsi="Verdana"/>
                <w:sz w:val="20"/>
                <w:szCs w:val="20"/>
              </w:rPr>
              <w:lastRenderedPageBreak/>
              <w:t>Practical Skills</w:t>
            </w:r>
            <w:r w:rsidR="006566B1" w:rsidRPr="00D156B8">
              <w:rPr>
                <w:rFonts w:ascii="Verdana" w:eastAsia="Verdana" w:hAnsi="Verdana"/>
                <w:sz w:val="20"/>
                <w:szCs w:val="20"/>
              </w:rPr>
              <w:t xml:space="preserve"> and </w:t>
            </w:r>
            <w:r w:rsidRPr="00D156B8">
              <w:rPr>
                <w:rFonts w:ascii="Verdana" w:eastAsia="Verdana" w:hAnsi="Verdana"/>
                <w:sz w:val="20"/>
                <w:szCs w:val="20"/>
              </w:rPr>
              <w:t xml:space="preserve">viva voce assessment undertaken in the context of the quality assurance processes of the </w:t>
            </w:r>
            <w:proofErr w:type="gramStart"/>
            <w:r w:rsidRPr="00D156B8">
              <w:rPr>
                <w:rFonts w:ascii="Verdana" w:eastAsia="Verdana" w:hAnsi="Verdana"/>
                <w:sz w:val="20"/>
                <w:szCs w:val="20"/>
              </w:rPr>
              <w:t>University;</w:t>
            </w:r>
            <w:proofErr w:type="gramEnd"/>
          </w:p>
          <w:p w14:paraId="3410CBA9" w14:textId="77777777" w:rsidR="006264BC" w:rsidRPr="00360C1E" w:rsidRDefault="006264BC" w:rsidP="004D667C">
            <w:pPr>
              <w:spacing w:before="120" w:after="120"/>
              <w:jc w:val="center"/>
              <w:rPr>
                <w:rFonts w:ascii="Verdana" w:eastAsia="Times New Roman" w:hAnsi="Verdana" w:cs="Arial"/>
                <w:sz w:val="20"/>
                <w:szCs w:val="20"/>
                <w:lang w:eastAsia="en-GB"/>
              </w:rPr>
            </w:pPr>
          </w:p>
          <w:p w14:paraId="0361F24F" w14:textId="77777777" w:rsidR="006264BC" w:rsidRPr="00360C1E" w:rsidRDefault="006264BC" w:rsidP="004D667C">
            <w:pPr>
              <w:spacing w:before="120" w:after="120"/>
              <w:jc w:val="center"/>
              <w:rPr>
                <w:rFonts w:ascii="Verdana" w:eastAsia="Times New Roman" w:hAnsi="Verdana" w:cs="Arial"/>
                <w:sz w:val="20"/>
                <w:szCs w:val="20"/>
                <w:lang w:eastAsia="en-GB"/>
              </w:rPr>
            </w:pPr>
            <w:r w:rsidRPr="00360C1E">
              <w:rPr>
                <w:rFonts w:ascii="Verdana" w:eastAsia="Times New Roman" w:hAnsi="Verdana" w:cs="Arial"/>
                <w:b/>
                <w:sz w:val="20"/>
                <w:szCs w:val="20"/>
                <w:lang w:eastAsia="en-GB"/>
              </w:rPr>
              <w:t>Portfolio:</w:t>
            </w:r>
            <w:r w:rsidRPr="00360C1E">
              <w:rPr>
                <w:rFonts w:ascii="Verdana" w:eastAsia="Times New Roman" w:hAnsi="Verdana" w:cs="Arial"/>
                <w:sz w:val="20"/>
                <w:szCs w:val="20"/>
                <w:lang w:eastAsia="en-GB"/>
              </w:rPr>
              <w:t xml:space="preserve"> (100%)</w:t>
            </w:r>
          </w:p>
          <w:p w14:paraId="5F9960FE" w14:textId="777FB3CD" w:rsidR="006264BC" w:rsidRDefault="19B14167" w:rsidP="004D667C">
            <w:pPr>
              <w:spacing w:before="120" w:after="120"/>
              <w:jc w:val="center"/>
              <w:rPr>
                <w:rFonts w:ascii="Verdana" w:eastAsia="Verdana" w:hAnsi="Verdana"/>
                <w:sz w:val="20"/>
                <w:szCs w:val="20"/>
              </w:rPr>
            </w:pPr>
            <w:r w:rsidRPr="0FE78FCB">
              <w:rPr>
                <w:rFonts w:ascii="Verdana" w:eastAsia="Times New Roman" w:hAnsi="Verdana" w:cs="Arial"/>
                <w:sz w:val="20"/>
                <w:szCs w:val="20"/>
                <w:lang w:eastAsia="en-GB"/>
              </w:rPr>
              <w:t>3500</w:t>
            </w:r>
            <w:r w:rsidR="4E95A315" w:rsidRPr="0FE78FCB">
              <w:rPr>
                <w:rFonts w:ascii="Verdana" w:eastAsia="Times New Roman" w:hAnsi="Verdana" w:cs="Arial"/>
                <w:sz w:val="20"/>
                <w:szCs w:val="20"/>
                <w:lang w:eastAsia="en-GB"/>
              </w:rPr>
              <w:t xml:space="preserve">-word assessment </w:t>
            </w:r>
            <w:r w:rsidR="4E95A315" w:rsidRPr="0FE78FCB">
              <w:rPr>
                <w:rFonts w:ascii="Verdana" w:eastAsia="Verdana" w:hAnsi="Verdana"/>
                <w:sz w:val="20"/>
                <w:szCs w:val="20"/>
              </w:rPr>
              <w:t>demonstrating knowledge and understanding applied to the practice area for each of the Learning Outcomes. 3500-word portfolio submission at end of programme.</w:t>
            </w:r>
          </w:p>
          <w:p w14:paraId="1A2AD521" w14:textId="77777777" w:rsidR="006264BC" w:rsidRDefault="006264BC" w:rsidP="004D667C">
            <w:pPr>
              <w:spacing w:before="120" w:after="120"/>
              <w:jc w:val="center"/>
              <w:rPr>
                <w:rFonts w:ascii="Verdana" w:eastAsia="Verdana" w:hAnsi="Verdana"/>
                <w:sz w:val="20"/>
                <w:szCs w:val="20"/>
              </w:rPr>
            </w:pPr>
          </w:p>
          <w:p w14:paraId="01067252" w14:textId="783F1931" w:rsidR="006264BC" w:rsidRDefault="006264BC" w:rsidP="004D667C">
            <w:pPr>
              <w:spacing w:before="120" w:after="120"/>
              <w:jc w:val="center"/>
              <w:rPr>
                <w:rFonts w:ascii="Verdana" w:hAnsi="Verdana"/>
                <w:sz w:val="20"/>
                <w:szCs w:val="20"/>
              </w:rPr>
            </w:pPr>
            <w:r>
              <w:rPr>
                <w:rFonts w:ascii="Verdana" w:eastAsia="Verdana" w:hAnsi="Verdana"/>
                <w:sz w:val="20"/>
                <w:szCs w:val="20"/>
              </w:rPr>
              <w:t>(Please see also additional information regarding the indicative assessment timeline below)</w:t>
            </w:r>
          </w:p>
        </w:tc>
        <w:tc>
          <w:tcPr>
            <w:tcW w:w="744" w:type="pct"/>
            <w:shd w:val="clear" w:color="auto" w:fill="FFFFFF" w:themeFill="background1"/>
          </w:tcPr>
          <w:p w14:paraId="27B67493" w14:textId="77777777" w:rsidR="006264BC" w:rsidRPr="00360C1E" w:rsidRDefault="006264BC" w:rsidP="004D667C">
            <w:pPr>
              <w:spacing w:before="120" w:after="120"/>
              <w:jc w:val="center"/>
              <w:rPr>
                <w:rFonts w:ascii="Verdana" w:eastAsia="Verdana" w:hAnsi="Verdana"/>
                <w:sz w:val="20"/>
                <w:szCs w:val="20"/>
              </w:rPr>
            </w:pPr>
            <w:r w:rsidRPr="00360C1E">
              <w:rPr>
                <w:rFonts w:ascii="Verdana" w:eastAsia="Verdana" w:hAnsi="Verdana"/>
                <w:sz w:val="20"/>
                <w:szCs w:val="20"/>
              </w:rPr>
              <w:lastRenderedPageBreak/>
              <w:t>Completed by mid-way through programme</w:t>
            </w:r>
          </w:p>
          <w:p w14:paraId="1DA2E3FA" w14:textId="77777777" w:rsidR="006264BC" w:rsidRPr="00360C1E" w:rsidRDefault="006264BC" w:rsidP="004D667C">
            <w:pPr>
              <w:spacing w:before="120" w:after="120"/>
              <w:jc w:val="center"/>
              <w:rPr>
                <w:rFonts w:ascii="Verdana" w:eastAsia="Verdana" w:hAnsi="Verdana"/>
                <w:sz w:val="20"/>
                <w:szCs w:val="20"/>
              </w:rPr>
            </w:pPr>
          </w:p>
          <w:p w14:paraId="0D10A69F" w14:textId="77777777" w:rsidR="006264BC" w:rsidRPr="00360C1E" w:rsidRDefault="006264BC" w:rsidP="004D667C">
            <w:pPr>
              <w:spacing w:before="120" w:after="120"/>
              <w:jc w:val="center"/>
              <w:rPr>
                <w:rFonts w:ascii="Verdana" w:eastAsia="Verdana" w:hAnsi="Verdana"/>
                <w:sz w:val="20"/>
                <w:szCs w:val="20"/>
              </w:rPr>
            </w:pPr>
          </w:p>
          <w:p w14:paraId="52D4C919" w14:textId="77777777" w:rsidR="006264BC" w:rsidRDefault="006264BC" w:rsidP="004D667C">
            <w:pPr>
              <w:spacing w:before="120" w:after="120"/>
              <w:jc w:val="center"/>
              <w:rPr>
                <w:rFonts w:ascii="Verdana" w:eastAsia="Verdana" w:hAnsi="Verdana"/>
                <w:sz w:val="20"/>
                <w:szCs w:val="20"/>
              </w:rPr>
            </w:pPr>
          </w:p>
          <w:p w14:paraId="4833ABC8" w14:textId="77777777" w:rsidR="006264BC" w:rsidRPr="00360C1E" w:rsidRDefault="006264BC" w:rsidP="004D667C">
            <w:pPr>
              <w:spacing w:before="120" w:after="120"/>
              <w:jc w:val="center"/>
              <w:rPr>
                <w:rFonts w:ascii="Verdana" w:eastAsia="Verdana" w:hAnsi="Verdana"/>
                <w:sz w:val="20"/>
                <w:szCs w:val="20"/>
              </w:rPr>
            </w:pPr>
            <w:r w:rsidRPr="00360C1E">
              <w:rPr>
                <w:rFonts w:ascii="Verdana" w:eastAsia="Verdana" w:hAnsi="Verdana"/>
                <w:sz w:val="20"/>
                <w:szCs w:val="20"/>
              </w:rPr>
              <w:t>End of programme assessment required</w:t>
            </w:r>
          </w:p>
          <w:p w14:paraId="0152007C" w14:textId="77777777" w:rsidR="006264BC" w:rsidRPr="00360C1E" w:rsidRDefault="006264BC" w:rsidP="004D667C">
            <w:pPr>
              <w:spacing w:before="120" w:after="120"/>
              <w:jc w:val="center"/>
              <w:rPr>
                <w:rFonts w:ascii="Verdana" w:eastAsia="Verdana" w:hAnsi="Verdana"/>
                <w:sz w:val="20"/>
                <w:szCs w:val="20"/>
              </w:rPr>
            </w:pPr>
          </w:p>
          <w:p w14:paraId="41E94CF2" w14:textId="77777777" w:rsidR="006264BC" w:rsidRPr="00360C1E" w:rsidRDefault="006264BC" w:rsidP="004D667C">
            <w:pPr>
              <w:spacing w:before="120" w:after="120"/>
              <w:jc w:val="center"/>
              <w:rPr>
                <w:rFonts w:ascii="Verdana" w:eastAsia="Verdana" w:hAnsi="Verdana"/>
                <w:sz w:val="20"/>
                <w:szCs w:val="20"/>
              </w:rPr>
            </w:pPr>
          </w:p>
          <w:p w14:paraId="2E39A6B9" w14:textId="77777777" w:rsidR="006264BC" w:rsidRPr="00360C1E" w:rsidRDefault="006264BC" w:rsidP="004D667C">
            <w:pPr>
              <w:spacing w:before="120" w:after="120"/>
              <w:jc w:val="center"/>
              <w:rPr>
                <w:rFonts w:ascii="Verdana" w:eastAsia="Verdana" w:hAnsi="Verdana"/>
                <w:sz w:val="20"/>
                <w:szCs w:val="20"/>
              </w:rPr>
            </w:pPr>
          </w:p>
          <w:p w14:paraId="74BDDF18" w14:textId="77777777" w:rsidR="006264BC" w:rsidRPr="00360C1E" w:rsidRDefault="006264BC" w:rsidP="004D667C">
            <w:pPr>
              <w:spacing w:before="120" w:after="120"/>
              <w:jc w:val="center"/>
              <w:rPr>
                <w:rFonts w:ascii="Verdana" w:eastAsia="Verdana" w:hAnsi="Verdana"/>
                <w:sz w:val="20"/>
                <w:szCs w:val="20"/>
              </w:rPr>
            </w:pPr>
          </w:p>
          <w:p w14:paraId="33249E65" w14:textId="54D9013C" w:rsidR="006264BC" w:rsidRDefault="006264BC" w:rsidP="004D667C">
            <w:pPr>
              <w:spacing w:before="120" w:after="120"/>
              <w:jc w:val="center"/>
              <w:rPr>
                <w:rFonts w:ascii="Verdana" w:eastAsia="Verdana" w:hAnsi="Verdana"/>
                <w:sz w:val="20"/>
                <w:szCs w:val="20"/>
              </w:rPr>
            </w:pPr>
          </w:p>
          <w:p w14:paraId="24114C77" w14:textId="77777777" w:rsidR="006264BC" w:rsidRPr="00360C1E" w:rsidRDefault="006264BC" w:rsidP="004D667C">
            <w:pPr>
              <w:spacing w:before="120" w:after="120"/>
              <w:jc w:val="center"/>
              <w:rPr>
                <w:rFonts w:ascii="Verdana" w:eastAsia="Verdana" w:hAnsi="Verdana"/>
                <w:sz w:val="20"/>
                <w:szCs w:val="20"/>
              </w:rPr>
            </w:pPr>
          </w:p>
          <w:p w14:paraId="1EDD5A24" w14:textId="77777777" w:rsidR="006264BC" w:rsidRPr="00360C1E" w:rsidRDefault="006264BC" w:rsidP="004D667C">
            <w:pPr>
              <w:spacing w:before="120" w:after="120"/>
              <w:jc w:val="center"/>
              <w:rPr>
                <w:rFonts w:ascii="Verdana" w:eastAsia="Verdana" w:hAnsi="Verdana"/>
                <w:sz w:val="20"/>
                <w:szCs w:val="20"/>
              </w:rPr>
            </w:pPr>
            <w:r w:rsidRPr="00360C1E">
              <w:rPr>
                <w:rFonts w:ascii="Verdana" w:eastAsia="Verdana" w:hAnsi="Verdana"/>
                <w:sz w:val="20"/>
                <w:szCs w:val="20"/>
              </w:rPr>
              <w:t>End of programme assessment</w:t>
            </w:r>
          </w:p>
          <w:p w14:paraId="2CD7DB90" w14:textId="77777777" w:rsidR="006264BC" w:rsidRPr="00360C1E" w:rsidRDefault="006264BC" w:rsidP="004D667C">
            <w:pPr>
              <w:spacing w:before="120" w:after="120"/>
              <w:jc w:val="center"/>
              <w:rPr>
                <w:rFonts w:ascii="Verdana" w:eastAsia="Verdana" w:hAnsi="Verdana"/>
                <w:sz w:val="20"/>
                <w:szCs w:val="20"/>
              </w:rPr>
            </w:pPr>
          </w:p>
          <w:p w14:paraId="700EFDE6" w14:textId="77777777" w:rsidR="006264BC" w:rsidRPr="00360C1E" w:rsidRDefault="006264BC" w:rsidP="004D667C">
            <w:pPr>
              <w:spacing w:before="120" w:after="120"/>
              <w:jc w:val="center"/>
              <w:rPr>
                <w:rFonts w:ascii="Verdana" w:eastAsia="Verdana" w:hAnsi="Verdana"/>
                <w:sz w:val="20"/>
                <w:szCs w:val="20"/>
              </w:rPr>
            </w:pPr>
          </w:p>
          <w:p w14:paraId="0A2F518D" w14:textId="77777777" w:rsidR="006264BC" w:rsidRPr="00360C1E" w:rsidRDefault="006264BC" w:rsidP="004D667C">
            <w:pPr>
              <w:spacing w:before="120" w:after="120"/>
              <w:jc w:val="center"/>
              <w:rPr>
                <w:rFonts w:ascii="Verdana" w:eastAsia="Verdana" w:hAnsi="Verdana"/>
                <w:sz w:val="20"/>
                <w:szCs w:val="20"/>
              </w:rPr>
            </w:pPr>
          </w:p>
          <w:p w14:paraId="54583E67" w14:textId="56A1CD90" w:rsidR="006264BC" w:rsidRDefault="006264BC" w:rsidP="004D667C">
            <w:pPr>
              <w:spacing w:before="120" w:after="120"/>
              <w:jc w:val="center"/>
              <w:rPr>
                <w:rFonts w:ascii="Verdana" w:eastAsia="Verdana" w:hAnsi="Verdana"/>
                <w:sz w:val="20"/>
                <w:szCs w:val="20"/>
              </w:rPr>
            </w:pPr>
          </w:p>
          <w:p w14:paraId="1857EE59" w14:textId="77777777" w:rsidR="006264BC" w:rsidRPr="00360C1E" w:rsidRDefault="006264BC" w:rsidP="004D667C">
            <w:pPr>
              <w:spacing w:before="120" w:after="120"/>
              <w:jc w:val="center"/>
              <w:rPr>
                <w:rFonts w:ascii="Verdana" w:eastAsia="Verdana" w:hAnsi="Verdana"/>
                <w:sz w:val="20"/>
                <w:szCs w:val="20"/>
              </w:rPr>
            </w:pPr>
          </w:p>
          <w:p w14:paraId="585EC763" w14:textId="77777777" w:rsidR="006264BC" w:rsidRPr="00360C1E" w:rsidRDefault="006264BC" w:rsidP="004D667C">
            <w:pPr>
              <w:spacing w:before="120" w:after="120"/>
              <w:jc w:val="center"/>
              <w:rPr>
                <w:rFonts w:ascii="Verdana" w:eastAsia="Verdana" w:hAnsi="Verdana"/>
                <w:sz w:val="20"/>
                <w:szCs w:val="20"/>
              </w:rPr>
            </w:pPr>
          </w:p>
          <w:p w14:paraId="6F5C5235" w14:textId="4714163A" w:rsidR="006264BC" w:rsidRDefault="006264BC" w:rsidP="004D667C">
            <w:pPr>
              <w:spacing w:before="120" w:after="120"/>
              <w:jc w:val="center"/>
              <w:rPr>
                <w:rFonts w:ascii="Verdana" w:hAnsi="Verdana"/>
                <w:sz w:val="20"/>
                <w:szCs w:val="20"/>
              </w:rPr>
            </w:pPr>
            <w:r w:rsidRPr="00360C1E">
              <w:rPr>
                <w:rFonts w:ascii="Verdana" w:eastAsia="Verdana" w:hAnsi="Verdana"/>
                <w:sz w:val="20"/>
                <w:szCs w:val="20"/>
              </w:rPr>
              <w:t>End of programme assessment</w:t>
            </w:r>
          </w:p>
        </w:tc>
      </w:tr>
      <w:tr w:rsidR="006B34D2" w14:paraId="7223A1D7" w14:textId="77777777" w:rsidTr="0FE78FCB">
        <w:tc>
          <w:tcPr>
            <w:tcW w:w="5000" w:type="pct"/>
            <w:gridSpan w:val="5"/>
            <w:tcBorders>
              <w:top w:val="single" w:sz="4" w:space="0" w:color="auto"/>
              <w:left w:val="single" w:sz="4" w:space="0" w:color="auto"/>
              <w:bottom w:val="single" w:sz="4" w:space="0" w:color="auto"/>
              <w:right w:val="single" w:sz="4" w:space="0" w:color="auto"/>
            </w:tcBorders>
            <w:shd w:val="clear" w:color="auto" w:fill="EAF1DD"/>
            <w:vAlign w:val="center"/>
            <w:hideMark/>
          </w:tcPr>
          <w:p w14:paraId="587FC7D6" w14:textId="77777777" w:rsidR="006264BC" w:rsidRPr="006264BC" w:rsidRDefault="4E95A315" w:rsidP="004D667C">
            <w:pPr>
              <w:spacing w:before="120" w:after="120"/>
              <w:jc w:val="center"/>
              <w:rPr>
                <w:rFonts w:ascii="Verdana" w:hAnsi="Verdana"/>
                <w:b/>
                <w:bCs/>
                <w:sz w:val="20"/>
                <w:szCs w:val="20"/>
              </w:rPr>
            </w:pPr>
            <w:r w:rsidRPr="0FE78FCB">
              <w:rPr>
                <w:rFonts w:ascii="Verdana" w:hAnsi="Verdana"/>
                <w:b/>
                <w:bCs/>
                <w:sz w:val="20"/>
                <w:szCs w:val="20"/>
              </w:rPr>
              <w:lastRenderedPageBreak/>
              <w:t xml:space="preserve">Students exiting at this point with 40 credits would receive a </w:t>
            </w:r>
            <w:bookmarkStart w:id="2" w:name="_Int_t58vIium"/>
            <w:proofErr w:type="gramStart"/>
            <w:r w:rsidRPr="0FE78FCB">
              <w:rPr>
                <w:rFonts w:ascii="Verdana" w:hAnsi="Verdana"/>
                <w:b/>
                <w:bCs/>
                <w:sz w:val="20"/>
                <w:szCs w:val="20"/>
              </w:rPr>
              <w:t>University</w:t>
            </w:r>
            <w:bookmarkEnd w:id="2"/>
            <w:proofErr w:type="gramEnd"/>
            <w:r w:rsidRPr="0FE78FCB">
              <w:rPr>
                <w:rFonts w:ascii="Verdana" w:hAnsi="Verdana"/>
                <w:b/>
                <w:bCs/>
                <w:sz w:val="20"/>
                <w:szCs w:val="20"/>
              </w:rPr>
              <w:t xml:space="preserve"> transcript of credit.</w:t>
            </w:r>
          </w:p>
          <w:p w14:paraId="3922492A" w14:textId="610FBDF1" w:rsidR="006264BC" w:rsidRPr="006264BC" w:rsidRDefault="006264BC" w:rsidP="004D667C">
            <w:pPr>
              <w:spacing w:before="120" w:after="120"/>
              <w:jc w:val="center"/>
              <w:rPr>
                <w:rFonts w:ascii="Verdana" w:hAnsi="Verdana"/>
                <w:b/>
                <w:sz w:val="20"/>
                <w:szCs w:val="20"/>
              </w:rPr>
            </w:pPr>
            <w:r w:rsidRPr="006264BC">
              <w:rPr>
                <w:rFonts w:ascii="Verdana" w:hAnsi="Verdana"/>
                <w:b/>
                <w:sz w:val="20"/>
                <w:szCs w:val="20"/>
              </w:rPr>
              <w:t>Successful students will also be awarded a ‘Pract</w:t>
            </w:r>
            <w:r w:rsidR="00607D19">
              <w:rPr>
                <w:rFonts w:ascii="Verdana" w:hAnsi="Verdana"/>
                <w:b/>
                <w:sz w:val="20"/>
                <w:szCs w:val="20"/>
              </w:rPr>
              <w:t>ice Certificate in Independent P</w:t>
            </w:r>
            <w:r w:rsidRPr="006264BC">
              <w:rPr>
                <w:rFonts w:ascii="Verdana" w:hAnsi="Verdana"/>
                <w:b/>
                <w:sz w:val="20"/>
                <w:szCs w:val="20"/>
              </w:rPr>
              <w:t>rescribing’ confirming that the candidate has successfully completed the programme and period of learning in practice.</w:t>
            </w:r>
          </w:p>
          <w:p w14:paraId="1C5B3597" w14:textId="735DA3BA" w:rsidR="006B34D2" w:rsidRPr="00275FD8" w:rsidRDefault="006264BC" w:rsidP="004D667C">
            <w:pPr>
              <w:spacing w:before="120" w:after="120"/>
              <w:jc w:val="center"/>
              <w:rPr>
                <w:rFonts w:ascii="Verdana" w:hAnsi="Verdana"/>
                <w:b/>
                <w:color w:val="FF0000"/>
              </w:rPr>
            </w:pPr>
            <w:r w:rsidRPr="006264BC">
              <w:rPr>
                <w:rFonts w:ascii="Verdana" w:hAnsi="Verdana"/>
                <w:sz w:val="20"/>
                <w:szCs w:val="20"/>
              </w:rPr>
              <w:t>As a result of successful completion of the module, pharmacists will be eligible to apply for annotation as an independent prescriber to their registration with the General Pharmaceutical Council.</w:t>
            </w:r>
          </w:p>
        </w:tc>
      </w:tr>
    </w:tbl>
    <w:p w14:paraId="7F9B2B9A" w14:textId="77777777" w:rsidR="00607D19" w:rsidRDefault="00607D19" w:rsidP="004D667C">
      <w:pPr>
        <w:spacing w:before="120" w:after="120"/>
        <w:rPr>
          <w:rFonts w:ascii="Verdana" w:hAnsi="Verdana"/>
        </w:rPr>
      </w:pPr>
    </w:p>
    <w:p w14:paraId="78BEFD2A" w14:textId="77777777" w:rsidR="006B34D2" w:rsidRDefault="006B34D2" w:rsidP="004D667C">
      <w:pPr>
        <w:spacing w:before="120" w:after="120"/>
        <w:rPr>
          <w:rFonts w:ascii="Verdana" w:hAnsi="Verdana"/>
        </w:rPr>
        <w:sectPr w:rsidR="006B34D2">
          <w:pgSz w:w="16838" w:h="11906" w:orient="landscape"/>
          <w:pgMar w:top="720" w:right="720" w:bottom="720" w:left="720"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10456"/>
      </w:tblGrid>
      <w:tr w:rsidR="006B34D2" w14:paraId="0A0A0803" w14:textId="77777777" w:rsidTr="0FE78FCB">
        <w:tc>
          <w:tcPr>
            <w:tcW w:w="10682"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008CF1DE" w14:textId="77777777" w:rsidR="006B34D2" w:rsidRDefault="006B34D2" w:rsidP="004D667C">
            <w:pPr>
              <w:spacing w:before="120" w:after="120"/>
              <w:rPr>
                <w:rFonts w:ascii="Verdana" w:hAnsi="Verdana"/>
              </w:rPr>
            </w:pPr>
            <w:r>
              <w:rPr>
                <w:rFonts w:ascii="Verdana" w:hAnsi="Verdana"/>
                <w:b/>
              </w:rPr>
              <w:lastRenderedPageBreak/>
              <w:t>Exceptions to Academic Regulations</w:t>
            </w:r>
          </w:p>
        </w:tc>
      </w:tr>
      <w:tr w:rsidR="006B34D2" w14:paraId="10074826" w14:textId="77777777" w:rsidTr="0FE78FCB">
        <w:tc>
          <w:tcPr>
            <w:tcW w:w="10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EE3EF" w14:textId="0076C88A" w:rsidR="008B1013" w:rsidRPr="0090050C" w:rsidRDefault="101E86F7" w:rsidP="004D667C">
            <w:pPr>
              <w:spacing w:before="120" w:after="120"/>
              <w:rPr>
                <w:rFonts w:ascii="Verdana" w:hAnsi="Verdana" w:cs="Arial"/>
                <w:i/>
                <w:iCs/>
                <w:color w:val="C00000"/>
                <w:sz w:val="20"/>
                <w:szCs w:val="20"/>
              </w:rPr>
            </w:pPr>
            <w:r w:rsidRPr="0FE78FCB">
              <w:rPr>
                <w:rFonts w:ascii="Verdana" w:hAnsi="Verdana" w:cs="Arial"/>
                <w:sz w:val="20"/>
                <w:szCs w:val="20"/>
              </w:rPr>
              <w:t>This programme operates in accordance with the University’s Academic Regulations and Academic Procedures and Processes with the following permitted exceptions</w:t>
            </w:r>
            <w:r w:rsidR="250FEFDB" w:rsidRPr="0FE78FCB">
              <w:rPr>
                <w:rFonts w:ascii="Verdana" w:hAnsi="Verdana" w:cs="Arial"/>
                <w:sz w:val="20"/>
                <w:szCs w:val="20"/>
              </w:rPr>
              <w:t xml:space="preserve"> </w:t>
            </w:r>
            <w:r w:rsidRPr="0FE78FCB">
              <w:rPr>
                <w:rFonts w:ascii="Verdana" w:hAnsi="Verdana" w:cs="Arial"/>
                <w:sz w:val="20"/>
                <w:szCs w:val="20"/>
              </w:rPr>
              <w:t xml:space="preserve">due to the requirements of the </w:t>
            </w:r>
            <w:proofErr w:type="spellStart"/>
            <w:r w:rsidR="250FEFDB" w:rsidRPr="0FE78FCB">
              <w:rPr>
                <w:rFonts w:ascii="Verdana" w:hAnsi="Verdana" w:cs="Arial"/>
                <w:sz w:val="20"/>
                <w:szCs w:val="20"/>
              </w:rPr>
              <w:t>GPhC</w:t>
            </w:r>
            <w:proofErr w:type="spellEnd"/>
            <w:r w:rsidR="250FEFDB" w:rsidRPr="0FE78FCB">
              <w:rPr>
                <w:rFonts w:ascii="Verdana" w:hAnsi="Verdana" w:cs="Arial"/>
                <w:sz w:val="20"/>
                <w:szCs w:val="20"/>
              </w:rPr>
              <w:t xml:space="preserve">: </w:t>
            </w:r>
          </w:p>
          <w:p w14:paraId="5B449B4A" w14:textId="5753D360" w:rsidR="00C123E7" w:rsidRDefault="21382DE3" w:rsidP="004D667C">
            <w:pPr>
              <w:pStyle w:val="ListParagraph"/>
              <w:numPr>
                <w:ilvl w:val="0"/>
                <w:numId w:val="2"/>
              </w:numPr>
              <w:spacing w:before="120" w:after="120"/>
              <w:rPr>
                <w:rFonts w:ascii="Verdana" w:hAnsi="Verdana"/>
                <w:sz w:val="20"/>
                <w:szCs w:val="20"/>
              </w:rPr>
            </w:pPr>
            <w:r w:rsidRPr="0FE78FCB">
              <w:rPr>
                <w:rFonts w:ascii="Verdana" w:hAnsi="Verdana"/>
                <w:sz w:val="20"/>
                <w:szCs w:val="20"/>
              </w:rPr>
              <w:t xml:space="preserve">Students would not be entitled to module re-assessment, and will fail the programme if within any assessment, a failure to identify a serious problem or an answer which would cause the patient </w:t>
            </w:r>
            <w:r w:rsidR="14A3D161" w:rsidRPr="0FE78FCB">
              <w:rPr>
                <w:rFonts w:ascii="Verdana" w:hAnsi="Verdana"/>
                <w:sz w:val="20"/>
                <w:szCs w:val="20"/>
              </w:rPr>
              <w:t>harm -</w:t>
            </w:r>
            <w:r w:rsidR="1E024DF7" w:rsidRPr="0FE78FCB">
              <w:rPr>
                <w:rFonts w:ascii="Verdana" w:hAnsi="Verdana"/>
                <w:sz w:val="20"/>
                <w:szCs w:val="20"/>
              </w:rPr>
              <w:t xml:space="preserve"> Academic Regs </w:t>
            </w:r>
            <w:r w:rsidRPr="0FE78FCB">
              <w:rPr>
                <w:rFonts w:ascii="Verdana" w:hAnsi="Verdana"/>
                <w:sz w:val="20"/>
                <w:szCs w:val="20"/>
              </w:rPr>
              <w:t>(F8.1 &amp; F8.6)</w:t>
            </w:r>
          </w:p>
          <w:p w14:paraId="5DD95176" w14:textId="2823D803" w:rsidR="00C123E7" w:rsidRPr="00A70D4D" w:rsidRDefault="250FEFDB" w:rsidP="004D667C">
            <w:pPr>
              <w:numPr>
                <w:ilvl w:val="0"/>
                <w:numId w:val="2"/>
              </w:numPr>
              <w:spacing w:before="120" w:after="120"/>
              <w:rPr>
                <w:rFonts w:ascii="Verdana" w:hAnsi="Verdana" w:cs="Arial"/>
                <w:sz w:val="20"/>
                <w:szCs w:val="20"/>
              </w:rPr>
            </w:pPr>
            <w:r w:rsidRPr="0FE78FCB">
              <w:rPr>
                <w:rFonts w:ascii="Verdana" w:hAnsi="Verdana" w:cs="Arial"/>
                <w:sz w:val="20"/>
                <w:szCs w:val="20"/>
              </w:rPr>
              <w:t>Programme Length</w:t>
            </w:r>
            <w:r w:rsidR="6F70F98F" w:rsidRPr="0FE78FCB">
              <w:rPr>
                <w:rFonts w:ascii="Verdana" w:hAnsi="Verdana" w:cs="Arial"/>
                <w:sz w:val="20"/>
                <w:szCs w:val="20"/>
              </w:rPr>
              <w:t xml:space="preserve"> scheduled for</w:t>
            </w:r>
            <w:r w:rsidR="004D3279">
              <w:rPr>
                <w:rFonts w:ascii="Verdana" w:hAnsi="Verdana" w:cs="Arial"/>
                <w:sz w:val="20"/>
                <w:szCs w:val="20"/>
              </w:rPr>
              <w:t xml:space="preserve"> a period of approximately 18-24</w:t>
            </w:r>
            <w:r w:rsidR="6F70F98F" w:rsidRPr="0FE78FCB">
              <w:rPr>
                <w:rFonts w:ascii="Verdana" w:hAnsi="Verdana" w:cs="Arial"/>
                <w:sz w:val="20"/>
                <w:szCs w:val="20"/>
              </w:rPr>
              <w:t xml:space="preserve"> weeks – Academic Regs (D.3)</w:t>
            </w:r>
          </w:p>
          <w:p w14:paraId="59D28718" w14:textId="1EFBA025" w:rsidR="00C123E7" w:rsidRPr="00CA7CA9" w:rsidRDefault="250FEFDB" w:rsidP="004D667C">
            <w:pPr>
              <w:numPr>
                <w:ilvl w:val="0"/>
                <w:numId w:val="2"/>
              </w:numPr>
              <w:spacing w:before="120" w:after="120"/>
              <w:rPr>
                <w:rFonts w:ascii="Verdana" w:hAnsi="Verdana" w:cs="Arial"/>
                <w:color w:val="C00000"/>
                <w:sz w:val="20"/>
                <w:szCs w:val="20"/>
              </w:rPr>
            </w:pPr>
            <w:r w:rsidRPr="0FE78FCB">
              <w:rPr>
                <w:rFonts w:ascii="Verdana" w:hAnsi="Verdana" w:cs="Arial"/>
                <w:sz w:val="20"/>
                <w:szCs w:val="20"/>
              </w:rPr>
              <w:t>Number of summative assessments</w:t>
            </w:r>
            <w:r w:rsidR="6F70F98F" w:rsidRPr="0FE78FCB">
              <w:rPr>
                <w:rFonts w:ascii="Verdana" w:hAnsi="Verdana" w:cs="Arial"/>
                <w:sz w:val="20"/>
                <w:szCs w:val="20"/>
              </w:rPr>
              <w:t xml:space="preserve"> exceeds two – Academic Regs (F5.5)</w:t>
            </w:r>
          </w:p>
          <w:p w14:paraId="1D6EE860" w14:textId="372B5CD1" w:rsidR="00C123E7" w:rsidRPr="003A3E55" w:rsidRDefault="6792D0D2" w:rsidP="004D667C">
            <w:pPr>
              <w:numPr>
                <w:ilvl w:val="0"/>
                <w:numId w:val="2"/>
              </w:numPr>
              <w:spacing w:before="120" w:after="120"/>
              <w:rPr>
                <w:rFonts w:ascii="Verdana" w:eastAsia="Verdana" w:hAnsi="Verdana" w:cs="Verdana"/>
                <w:color w:val="000000" w:themeColor="text1"/>
              </w:rPr>
            </w:pPr>
            <w:r w:rsidRPr="0FE78FCB">
              <w:rPr>
                <w:rFonts w:ascii="Verdana" w:hAnsi="Verdana" w:cs="Arial"/>
                <w:sz w:val="20"/>
                <w:szCs w:val="20"/>
              </w:rPr>
              <w:t xml:space="preserve">Contact hours are stipulated by the </w:t>
            </w:r>
            <w:proofErr w:type="spellStart"/>
            <w:r w:rsidRPr="0FE78FCB">
              <w:rPr>
                <w:rFonts w:ascii="Verdana" w:hAnsi="Verdana" w:cs="Arial"/>
                <w:sz w:val="20"/>
                <w:szCs w:val="20"/>
              </w:rPr>
              <w:t>GPhC</w:t>
            </w:r>
            <w:proofErr w:type="spellEnd"/>
            <w:r w:rsidR="00635A20">
              <w:rPr>
                <w:rFonts w:ascii="Verdana" w:hAnsi="Verdana" w:cs="Arial"/>
                <w:sz w:val="20"/>
                <w:szCs w:val="20"/>
              </w:rPr>
              <w:t xml:space="preserve"> – Curriculum Design Framework</w:t>
            </w:r>
          </w:p>
        </w:tc>
      </w:tr>
    </w:tbl>
    <w:p w14:paraId="27A76422" w14:textId="77777777" w:rsidR="006B34D2" w:rsidRDefault="006B34D2" w:rsidP="004D667C">
      <w:pPr>
        <w:spacing w:before="120" w:after="12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3441"/>
        <w:gridCol w:w="7015"/>
      </w:tblGrid>
      <w:tr w:rsidR="006B34D2" w14:paraId="4510BAB8" w14:textId="77777777" w:rsidTr="0FE78FCB">
        <w:tc>
          <w:tcPr>
            <w:tcW w:w="10456"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14:paraId="3EB7F7AB" w14:textId="77777777" w:rsidR="006B34D2" w:rsidRDefault="006B34D2" w:rsidP="004D667C">
            <w:pPr>
              <w:spacing w:before="120" w:after="120"/>
              <w:rPr>
                <w:rFonts w:ascii="Verdana" w:hAnsi="Verdana"/>
              </w:rPr>
            </w:pPr>
            <w:r>
              <w:rPr>
                <w:rFonts w:ascii="Verdana" w:hAnsi="Verdana"/>
                <w:b/>
              </w:rPr>
              <w:t>Methods for Evaluating and Improving the Quality and Standards of Learning</w:t>
            </w:r>
          </w:p>
        </w:tc>
      </w:tr>
      <w:tr w:rsidR="006B34D2" w14:paraId="26BB8859" w14:textId="77777777" w:rsidTr="0FE78FCB">
        <w:tc>
          <w:tcPr>
            <w:tcW w:w="3441"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3C8B4D82" w14:textId="77777777" w:rsidR="006B34D2" w:rsidRDefault="006B34D2" w:rsidP="004D667C">
            <w:pPr>
              <w:spacing w:before="120" w:after="120"/>
              <w:rPr>
                <w:rFonts w:ascii="Verdana" w:hAnsi="Verdana"/>
                <w:b/>
              </w:rPr>
            </w:pPr>
            <w:r>
              <w:rPr>
                <w:rFonts w:ascii="Verdana" w:hAnsi="Verdana"/>
                <w:b/>
              </w:rPr>
              <w:t>Mechanisms used for the Review and Evaluation of the Curriculum and Learning, Teaching and Assessment Methods</w:t>
            </w:r>
          </w:p>
        </w:tc>
        <w:tc>
          <w:tcPr>
            <w:tcW w:w="7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A1AFB7" w14:textId="77777777" w:rsidR="00040119" w:rsidRPr="00C41851" w:rsidRDefault="00040119" w:rsidP="004D667C">
            <w:pPr>
              <w:numPr>
                <w:ilvl w:val="0"/>
                <w:numId w:val="14"/>
              </w:numPr>
              <w:spacing w:before="120" w:after="120"/>
              <w:rPr>
                <w:rFonts w:ascii="Verdana" w:eastAsia="Verdana" w:hAnsi="Verdana" w:cs="Arial"/>
                <w:sz w:val="20"/>
                <w:szCs w:val="20"/>
              </w:rPr>
            </w:pPr>
            <w:r w:rsidRPr="00C41851">
              <w:rPr>
                <w:rFonts w:ascii="Verdana" w:eastAsia="Verdana" w:hAnsi="Verdana" w:cs="Arial"/>
                <w:sz w:val="20"/>
                <w:szCs w:val="20"/>
              </w:rPr>
              <w:t>G</w:t>
            </w:r>
            <w:r>
              <w:rPr>
                <w:rFonts w:ascii="Verdana" w:eastAsia="Verdana" w:hAnsi="Verdana" w:cs="Arial"/>
                <w:sz w:val="20"/>
                <w:szCs w:val="20"/>
              </w:rPr>
              <w:t xml:space="preserve">eneral </w:t>
            </w:r>
            <w:r w:rsidRPr="00C41851">
              <w:rPr>
                <w:rFonts w:ascii="Verdana" w:eastAsia="Verdana" w:hAnsi="Verdana" w:cs="Arial"/>
                <w:sz w:val="20"/>
                <w:szCs w:val="20"/>
              </w:rPr>
              <w:t>Ph</w:t>
            </w:r>
            <w:r>
              <w:rPr>
                <w:rFonts w:ascii="Verdana" w:eastAsia="Verdana" w:hAnsi="Verdana" w:cs="Arial"/>
                <w:sz w:val="20"/>
                <w:szCs w:val="20"/>
              </w:rPr>
              <w:t xml:space="preserve">armaceutical </w:t>
            </w:r>
            <w:r w:rsidRPr="00C41851">
              <w:rPr>
                <w:rFonts w:ascii="Verdana" w:eastAsia="Verdana" w:hAnsi="Verdana" w:cs="Arial"/>
                <w:sz w:val="20"/>
                <w:szCs w:val="20"/>
              </w:rPr>
              <w:t>C</w:t>
            </w:r>
            <w:r>
              <w:rPr>
                <w:rFonts w:ascii="Verdana" w:eastAsia="Verdana" w:hAnsi="Verdana" w:cs="Arial"/>
                <w:sz w:val="20"/>
                <w:szCs w:val="20"/>
              </w:rPr>
              <w:t>ouncil</w:t>
            </w:r>
            <w:r w:rsidRPr="00C41851">
              <w:rPr>
                <w:rFonts w:ascii="Verdana" w:eastAsia="Verdana" w:hAnsi="Verdana" w:cs="Arial"/>
                <w:sz w:val="20"/>
                <w:szCs w:val="20"/>
              </w:rPr>
              <w:t xml:space="preserve"> </w:t>
            </w:r>
            <w:r>
              <w:rPr>
                <w:rFonts w:ascii="Verdana" w:eastAsia="Verdana" w:hAnsi="Verdana" w:cs="Arial"/>
                <w:sz w:val="20"/>
                <w:szCs w:val="20"/>
              </w:rPr>
              <w:t>accreditation processes</w:t>
            </w:r>
          </w:p>
          <w:p w14:paraId="38BEE1C1" w14:textId="77777777" w:rsidR="00040119" w:rsidRDefault="00040119" w:rsidP="004D667C">
            <w:pPr>
              <w:numPr>
                <w:ilvl w:val="0"/>
                <w:numId w:val="14"/>
              </w:numPr>
              <w:spacing w:before="120" w:after="120"/>
              <w:rPr>
                <w:rFonts w:ascii="Verdana" w:hAnsi="Verdana" w:cs="Arial"/>
                <w:sz w:val="20"/>
                <w:szCs w:val="20"/>
              </w:rPr>
            </w:pPr>
            <w:r w:rsidRPr="00040119">
              <w:rPr>
                <w:rFonts w:ascii="Verdana" w:hAnsi="Verdana" w:cs="Arial"/>
                <w:sz w:val="20"/>
                <w:szCs w:val="20"/>
              </w:rPr>
              <w:t>Module Evaluation</w:t>
            </w:r>
          </w:p>
          <w:p w14:paraId="6F0DDE3B" w14:textId="1BE4EF59" w:rsidR="006B34D2" w:rsidRPr="00040119" w:rsidRDefault="006B34D2" w:rsidP="004D667C">
            <w:pPr>
              <w:numPr>
                <w:ilvl w:val="0"/>
                <w:numId w:val="14"/>
              </w:numPr>
              <w:spacing w:before="120" w:after="120"/>
              <w:rPr>
                <w:rFonts w:ascii="Verdana" w:hAnsi="Verdana" w:cs="Arial"/>
                <w:sz w:val="20"/>
                <w:szCs w:val="20"/>
              </w:rPr>
            </w:pPr>
            <w:r w:rsidRPr="00040119">
              <w:rPr>
                <w:rFonts w:ascii="Verdana" w:hAnsi="Verdana" w:cs="Arial"/>
                <w:sz w:val="20"/>
                <w:szCs w:val="20"/>
              </w:rPr>
              <w:t>Programme Validation and Periodic Review</w:t>
            </w:r>
          </w:p>
          <w:p w14:paraId="7F3B9EA9" w14:textId="77777777" w:rsidR="006B34D2" w:rsidRDefault="006B34D2" w:rsidP="004D667C">
            <w:pPr>
              <w:numPr>
                <w:ilvl w:val="0"/>
                <w:numId w:val="14"/>
              </w:numPr>
              <w:spacing w:before="120" w:after="120"/>
              <w:rPr>
                <w:rFonts w:ascii="Verdana" w:hAnsi="Verdana" w:cs="Arial"/>
                <w:sz w:val="20"/>
                <w:szCs w:val="20"/>
              </w:rPr>
            </w:pPr>
            <w:r>
              <w:rPr>
                <w:rFonts w:ascii="Verdana" w:hAnsi="Verdana" w:cs="Arial"/>
                <w:sz w:val="20"/>
                <w:szCs w:val="20"/>
              </w:rPr>
              <w:t>Annual Monitoring</w:t>
            </w:r>
          </w:p>
          <w:p w14:paraId="3F1A5593" w14:textId="7CA89D03" w:rsidR="006B34D2" w:rsidRDefault="006B34D2" w:rsidP="004D667C">
            <w:pPr>
              <w:numPr>
                <w:ilvl w:val="0"/>
                <w:numId w:val="14"/>
              </w:numPr>
              <w:spacing w:before="120" w:after="120"/>
              <w:rPr>
                <w:rFonts w:ascii="Verdana" w:hAnsi="Verdana" w:cs="Arial"/>
                <w:sz w:val="20"/>
                <w:szCs w:val="20"/>
              </w:rPr>
            </w:pPr>
            <w:r>
              <w:rPr>
                <w:rFonts w:ascii="Verdana" w:hAnsi="Verdana" w:cs="Arial"/>
                <w:sz w:val="20"/>
                <w:szCs w:val="20"/>
              </w:rPr>
              <w:t>Peer Review</w:t>
            </w:r>
          </w:p>
          <w:p w14:paraId="2ABD98CD" w14:textId="77777777" w:rsidR="006B34D2" w:rsidRDefault="006B34D2" w:rsidP="004D667C">
            <w:pPr>
              <w:numPr>
                <w:ilvl w:val="0"/>
                <w:numId w:val="14"/>
              </w:numPr>
              <w:spacing w:before="120" w:after="120"/>
              <w:rPr>
                <w:rFonts w:ascii="Verdana" w:hAnsi="Verdana" w:cs="Arial"/>
                <w:sz w:val="20"/>
                <w:szCs w:val="20"/>
              </w:rPr>
            </w:pPr>
            <w:r>
              <w:rPr>
                <w:rFonts w:ascii="Verdana" w:hAnsi="Verdana" w:cs="Arial"/>
                <w:sz w:val="20"/>
                <w:szCs w:val="20"/>
              </w:rPr>
              <w:t>External Examiner Reports</w:t>
            </w:r>
          </w:p>
          <w:p w14:paraId="2F0E82DB" w14:textId="5AA278FE" w:rsidR="006B34D2" w:rsidRDefault="006B34D2" w:rsidP="004D667C">
            <w:pPr>
              <w:numPr>
                <w:ilvl w:val="0"/>
                <w:numId w:val="14"/>
              </w:numPr>
              <w:spacing w:before="120" w:after="120"/>
              <w:rPr>
                <w:rFonts w:ascii="Verdana" w:hAnsi="Verdana" w:cs="Arial"/>
                <w:sz w:val="20"/>
                <w:szCs w:val="20"/>
              </w:rPr>
            </w:pPr>
            <w:r>
              <w:rPr>
                <w:rFonts w:ascii="Verdana" w:hAnsi="Verdana" w:cs="Arial"/>
                <w:sz w:val="20"/>
                <w:szCs w:val="20"/>
              </w:rPr>
              <w:t>Student Success and Quality Assurance Committee</w:t>
            </w:r>
          </w:p>
          <w:p w14:paraId="11420BAA" w14:textId="77777777" w:rsidR="00040119" w:rsidRPr="00963C4E" w:rsidRDefault="00040119" w:rsidP="004D667C">
            <w:pPr>
              <w:numPr>
                <w:ilvl w:val="0"/>
                <w:numId w:val="14"/>
              </w:numPr>
              <w:spacing w:before="120" w:after="120"/>
              <w:rPr>
                <w:rFonts w:ascii="Verdana" w:eastAsia="Verdana" w:hAnsi="Verdana" w:cs="Arial"/>
                <w:sz w:val="20"/>
                <w:szCs w:val="20"/>
              </w:rPr>
            </w:pPr>
            <w:r w:rsidRPr="00963C4E">
              <w:rPr>
                <w:rFonts w:ascii="Verdana" w:eastAsia="Verdana" w:hAnsi="Verdana" w:cs="Arial"/>
                <w:sz w:val="20"/>
                <w:szCs w:val="20"/>
              </w:rPr>
              <w:t>Programme Partnership Committees</w:t>
            </w:r>
          </w:p>
          <w:p w14:paraId="4BC8FAD6" w14:textId="489568B3" w:rsidR="006B34D2" w:rsidRDefault="00040119" w:rsidP="004D667C">
            <w:pPr>
              <w:numPr>
                <w:ilvl w:val="0"/>
                <w:numId w:val="14"/>
              </w:numPr>
              <w:spacing w:before="120" w:after="120"/>
              <w:rPr>
                <w:rFonts w:ascii="Verdana" w:hAnsi="Verdana"/>
                <w:color w:val="C00000"/>
                <w:sz w:val="20"/>
                <w:szCs w:val="20"/>
              </w:rPr>
            </w:pPr>
            <w:r w:rsidRPr="00963C4E">
              <w:rPr>
                <w:rFonts w:ascii="Verdana" w:eastAsia="Verdana" w:hAnsi="Verdana" w:cs="Arial"/>
                <w:sz w:val="20"/>
                <w:szCs w:val="20"/>
              </w:rPr>
              <w:t>Operational</w:t>
            </w:r>
            <w:r w:rsidRPr="00C41851">
              <w:rPr>
                <w:rFonts w:ascii="Verdana" w:eastAsia="Verdana" w:hAnsi="Verdana" w:cs="Arial"/>
                <w:sz w:val="20"/>
                <w:szCs w:val="20"/>
              </w:rPr>
              <w:t xml:space="preserve"> (programme) Team meetings</w:t>
            </w:r>
          </w:p>
        </w:tc>
      </w:tr>
      <w:tr w:rsidR="006B34D2" w14:paraId="57E50F50" w14:textId="77777777" w:rsidTr="0FE78FCB">
        <w:tc>
          <w:tcPr>
            <w:tcW w:w="3441"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21AE2804" w14:textId="77777777" w:rsidR="006B34D2" w:rsidRDefault="006B34D2" w:rsidP="004D667C">
            <w:pPr>
              <w:spacing w:before="120" w:after="120"/>
              <w:rPr>
                <w:rFonts w:ascii="Verdana" w:hAnsi="Verdana"/>
                <w:b/>
              </w:rPr>
            </w:pPr>
            <w:r>
              <w:rPr>
                <w:rFonts w:ascii="Verdana" w:hAnsi="Verdana"/>
                <w:b/>
              </w:rPr>
              <w:t>Mechanisms used for gaining and responding to feedback on the quality of teaching and the learning experience – gained from: Students, graduates, employers, placement and work-based learning providers, other stakeholders, etc.</w:t>
            </w:r>
          </w:p>
        </w:tc>
        <w:tc>
          <w:tcPr>
            <w:tcW w:w="7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91CC5F" w14:textId="77777777" w:rsidR="006B34D2" w:rsidRDefault="006B34D2" w:rsidP="004D667C">
            <w:pPr>
              <w:pStyle w:val="NoSpacing"/>
              <w:numPr>
                <w:ilvl w:val="0"/>
                <w:numId w:val="15"/>
              </w:numPr>
              <w:spacing w:before="120" w:after="120" w:line="276" w:lineRule="auto"/>
              <w:rPr>
                <w:rFonts w:ascii="Verdana" w:hAnsi="Verdana" w:cs="Arial"/>
                <w:sz w:val="20"/>
                <w:szCs w:val="20"/>
              </w:rPr>
            </w:pPr>
            <w:r>
              <w:rPr>
                <w:rFonts w:ascii="Verdana" w:hAnsi="Verdana" w:cs="Arial"/>
                <w:sz w:val="20"/>
                <w:szCs w:val="20"/>
              </w:rPr>
              <w:t>Staff Student Forum</w:t>
            </w:r>
          </w:p>
          <w:p w14:paraId="6C0D6AA6" w14:textId="77777777" w:rsidR="006B34D2" w:rsidRDefault="006B34D2" w:rsidP="004D667C">
            <w:pPr>
              <w:pStyle w:val="NoSpacing"/>
              <w:numPr>
                <w:ilvl w:val="0"/>
                <w:numId w:val="16"/>
              </w:numPr>
              <w:spacing w:before="120" w:after="120" w:line="276" w:lineRule="auto"/>
              <w:rPr>
                <w:rFonts w:ascii="Verdana" w:hAnsi="Verdana" w:cs="Arial"/>
                <w:sz w:val="20"/>
                <w:szCs w:val="20"/>
              </w:rPr>
            </w:pPr>
            <w:r>
              <w:rPr>
                <w:rFonts w:ascii="Verdana" w:hAnsi="Verdana" w:cs="Arial"/>
                <w:sz w:val="20"/>
                <w:szCs w:val="20"/>
              </w:rPr>
              <w:t>Module Evaluation Forms</w:t>
            </w:r>
          </w:p>
          <w:p w14:paraId="38228C1A" w14:textId="3ECFD027" w:rsidR="006B34D2" w:rsidRDefault="006B34D2" w:rsidP="004D667C">
            <w:pPr>
              <w:pStyle w:val="NoSpacing"/>
              <w:numPr>
                <w:ilvl w:val="0"/>
                <w:numId w:val="16"/>
              </w:numPr>
              <w:spacing w:before="120" w:after="120" w:line="276" w:lineRule="auto"/>
              <w:rPr>
                <w:rFonts w:ascii="Verdana" w:hAnsi="Verdana" w:cs="Arial"/>
                <w:sz w:val="20"/>
                <w:szCs w:val="20"/>
              </w:rPr>
            </w:pPr>
            <w:r w:rsidRPr="0FE78FCB">
              <w:rPr>
                <w:rFonts w:ascii="Verdana" w:hAnsi="Verdana" w:cs="Arial"/>
                <w:sz w:val="20"/>
                <w:szCs w:val="20"/>
              </w:rPr>
              <w:t>Programme Evaluatio</w:t>
            </w:r>
            <w:r w:rsidR="787F8C76" w:rsidRPr="0FE78FCB">
              <w:rPr>
                <w:rFonts w:ascii="Verdana" w:hAnsi="Verdana" w:cs="Arial"/>
                <w:sz w:val="20"/>
                <w:szCs w:val="20"/>
              </w:rPr>
              <w:t>n</w:t>
            </w:r>
          </w:p>
          <w:p w14:paraId="11B93673" w14:textId="77777777" w:rsidR="006B34D2" w:rsidRDefault="006B34D2" w:rsidP="004D667C">
            <w:pPr>
              <w:pStyle w:val="NoSpacing"/>
              <w:numPr>
                <w:ilvl w:val="0"/>
                <w:numId w:val="16"/>
              </w:numPr>
              <w:spacing w:before="120" w:after="120" w:line="276" w:lineRule="auto"/>
              <w:rPr>
                <w:rFonts w:ascii="Verdana" w:hAnsi="Verdana" w:cs="Arial"/>
                <w:sz w:val="20"/>
                <w:szCs w:val="20"/>
              </w:rPr>
            </w:pPr>
            <w:r>
              <w:rPr>
                <w:rFonts w:ascii="Verdana" w:hAnsi="Verdana" w:cs="Arial"/>
                <w:sz w:val="20"/>
                <w:szCs w:val="20"/>
              </w:rPr>
              <w:t>Module/Programme/Personal tutorials</w:t>
            </w:r>
          </w:p>
          <w:p w14:paraId="62532B9D" w14:textId="3AFF9928" w:rsidR="006B34D2" w:rsidRPr="00040119" w:rsidRDefault="006B34D2" w:rsidP="004D667C">
            <w:pPr>
              <w:pStyle w:val="NoSpacing"/>
              <w:numPr>
                <w:ilvl w:val="0"/>
                <w:numId w:val="16"/>
              </w:numPr>
              <w:spacing w:before="120" w:after="120" w:line="276" w:lineRule="auto"/>
              <w:rPr>
                <w:rFonts w:ascii="Verdana" w:hAnsi="Verdana"/>
                <w:sz w:val="20"/>
                <w:szCs w:val="20"/>
              </w:rPr>
            </w:pPr>
            <w:r>
              <w:rPr>
                <w:rFonts w:ascii="Verdana" w:hAnsi="Verdana" w:cs="Arial"/>
                <w:sz w:val="20"/>
                <w:szCs w:val="20"/>
              </w:rPr>
              <w:t>Meetings with External Examiners</w:t>
            </w:r>
          </w:p>
          <w:p w14:paraId="70E10352" w14:textId="77777777" w:rsidR="00040119" w:rsidRPr="00BA2196" w:rsidRDefault="00040119" w:rsidP="004D667C">
            <w:pPr>
              <w:numPr>
                <w:ilvl w:val="0"/>
                <w:numId w:val="16"/>
              </w:numPr>
              <w:spacing w:before="120" w:after="120"/>
              <w:rPr>
                <w:rFonts w:ascii="Verdana" w:eastAsia="Verdana" w:hAnsi="Verdana"/>
                <w:sz w:val="20"/>
                <w:szCs w:val="20"/>
              </w:rPr>
            </w:pPr>
            <w:r w:rsidRPr="00BA2196">
              <w:rPr>
                <w:rFonts w:ascii="Verdana" w:eastAsia="Verdana" w:hAnsi="Verdana"/>
                <w:sz w:val="20"/>
                <w:szCs w:val="20"/>
              </w:rPr>
              <w:t>Student representation on Programme Partnership Committee</w:t>
            </w:r>
          </w:p>
          <w:p w14:paraId="03496544" w14:textId="77777777" w:rsidR="00040119" w:rsidRPr="00BA2196" w:rsidRDefault="00040119" w:rsidP="004D667C">
            <w:pPr>
              <w:pStyle w:val="NoSpacing"/>
              <w:numPr>
                <w:ilvl w:val="0"/>
                <w:numId w:val="16"/>
              </w:numPr>
              <w:spacing w:before="120" w:after="120" w:line="276" w:lineRule="auto"/>
              <w:rPr>
                <w:rFonts w:ascii="Verdana" w:eastAsia="Verdana" w:hAnsi="Verdana"/>
                <w:sz w:val="20"/>
                <w:szCs w:val="20"/>
              </w:rPr>
            </w:pPr>
            <w:r w:rsidRPr="00BA2196">
              <w:rPr>
                <w:rFonts w:ascii="Verdana" w:eastAsia="Verdana" w:hAnsi="Verdana"/>
                <w:sz w:val="20"/>
                <w:szCs w:val="20"/>
              </w:rPr>
              <w:t>Regional network meetings with Non-Medical Prescribing Leads</w:t>
            </w:r>
          </w:p>
          <w:p w14:paraId="31BE9A93" w14:textId="77777777" w:rsidR="00040119" w:rsidRPr="00BA2196" w:rsidRDefault="00040119" w:rsidP="004D667C">
            <w:pPr>
              <w:pStyle w:val="NoSpacing"/>
              <w:numPr>
                <w:ilvl w:val="0"/>
                <w:numId w:val="16"/>
              </w:numPr>
              <w:spacing w:before="120" w:after="120" w:line="276" w:lineRule="auto"/>
              <w:rPr>
                <w:rFonts w:ascii="Verdana" w:eastAsia="Verdana" w:hAnsi="Verdana"/>
                <w:sz w:val="20"/>
                <w:szCs w:val="20"/>
              </w:rPr>
            </w:pPr>
            <w:r w:rsidRPr="00BA2196">
              <w:rPr>
                <w:rFonts w:ascii="Verdana" w:eastAsia="Verdana" w:hAnsi="Verdana"/>
                <w:sz w:val="20"/>
                <w:szCs w:val="20"/>
              </w:rPr>
              <w:t>Health Education England review meeting</w:t>
            </w:r>
            <w:r>
              <w:rPr>
                <w:rFonts w:ascii="Verdana" w:eastAsia="Verdana" w:hAnsi="Verdana"/>
                <w:sz w:val="20"/>
                <w:szCs w:val="20"/>
              </w:rPr>
              <w:t>s</w:t>
            </w:r>
          </w:p>
          <w:p w14:paraId="783CCE12" w14:textId="77777777" w:rsidR="00040119" w:rsidRPr="00BA2196" w:rsidRDefault="396A1C6C" w:rsidP="004D667C">
            <w:pPr>
              <w:pStyle w:val="NoSpacing"/>
              <w:numPr>
                <w:ilvl w:val="0"/>
                <w:numId w:val="16"/>
              </w:numPr>
              <w:spacing w:before="120" w:after="120" w:line="276" w:lineRule="auto"/>
              <w:rPr>
                <w:rFonts w:ascii="Verdana" w:eastAsia="Verdana" w:hAnsi="Verdana"/>
                <w:sz w:val="20"/>
                <w:szCs w:val="20"/>
              </w:rPr>
            </w:pPr>
            <w:r w:rsidRPr="0FE78FCB">
              <w:rPr>
                <w:rFonts w:ascii="Verdana" w:eastAsia="Verdana" w:hAnsi="Verdana"/>
                <w:sz w:val="20"/>
                <w:szCs w:val="20"/>
              </w:rPr>
              <w:t>Online Forums (</w:t>
            </w:r>
            <w:bookmarkStart w:id="3" w:name="_Int_Gh0vqQ2L"/>
            <w:proofErr w:type="gramStart"/>
            <w:r w:rsidRPr="0FE78FCB">
              <w:rPr>
                <w:rFonts w:ascii="Verdana" w:eastAsia="Verdana" w:hAnsi="Verdana"/>
                <w:sz w:val="20"/>
                <w:szCs w:val="20"/>
              </w:rPr>
              <w:t>e.g.</w:t>
            </w:r>
            <w:bookmarkEnd w:id="3"/>
            <w:proofErr w:type="gramEnd"/>
            <w:r w:rsidRPr="0FE78FCB">
              <w:rPr>
                <w:rFonts w:ascii="Verdana" w:eastAsia="Verdana" w:hAnsi="Verdana"/>
                <w:sz w:val="20"/>
                <w:szCs w:val="20"/>
              </w:rPr>
              <w:t xml:space="preserve"> using the University’s VLE)</w:t>
            </w:r>
          </w:p>
          <w:p w14:paraId="4FBA831F" w14:textId="77777777" w:rsidR="00040119" w:rsidRDefault="00040119" w:rsidP="004D667C">
            <w:pPr>
              <w:pStyle w:val="NoSpacing"/>
              <w:numPr>
                <w:ilvl w:val="0"/>
                <w:numId w:val="16"/>
              </w:numPr>
              <w:spacing w:before="120" w:after="120" w:line="276" w:lineRule="auto"/>
              <w:rPr>
                <w:rFonts w:ascii="Verdana" w:eastAsia="Verdana" w:hAnsi="Verdana"/>
                <w:sz w:val="20"/>
                <w:szCs w:val="20"/>
              </w:rPr>
            </w:pPr>
            <w:r w:rsidRPr="00BA2196">
              <w:rPr>
                <w:rFonts w:ascii="Verdana" w:eastAsia="Verdana" w:hAnsi="Verdana"/>
                <w:sz w:val="20"/>
                <w:szCs w:val="20"/>
              </w:rPr>
              <w:t>Personal Tutor meetings with feedback to Module and Programme Leads</w:t>
            </w:r>
          </w:p>
          <w:p w14:paraId="7A0B4809" w14:textId="4B78C257" w:rsidR="006B34D2" w:rsidRDefault="396A1C6C" w:rsidP="004D667C">
            <w:pPr>
              <w:pStyle w:val="NoSpacing"/>
              <w:numPr>
                <w:ilvl w:val="0"/>
                <w:numId w:val="16"/>
              </w:numPr>
              <w:spacing w:before="120" w:after="120" w:line="276" w:lineRule="auto"/>
              <w:rPr>
                <w:rFonts w:ascii="Verdana" w:hAnsi="Verdana"/>
                <w:sz w:val="20"/>
                <w:szCs w:val="20"/>
              </w:rPr>
            </w:pPr>
            <w:r w:rsidRPr="0FE78FCB">
              <w:rPr>
                <w:rFonts w:ascii="Verdana" w:eastAsia="Verdana" w:hAnsi="Verdana"/>
                <w:sz w:val="20"/>
                <w:szCs w:val="20"/>
              </w:rPr>
              <w:t>Informal discussion with students</w:t>
            </w:r>
          </w:p>
        </w:tc>
      </w:tr>
    </w:tbl>
    <w:p w14:paraId="49206A88" w14:textId="77777777" w:rsidR="006B34D2" w:rsidRDefault="006B34D2" w:rsidP="004D667C">
      <w:pPr>
        <w:spacing w:before="120" w:after="12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6995"/>
      </w:tblGrid>
      <w:tr w:rsidR="006B34D2" w14:paraId="18EEEEB9" w14:textId="77777777" w:rsidTr="006B34D2">
        <w:tc>
          <w:tcPr>
            <w:tcW w:w="3510"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046AAA58" w14:textId="77777777" w:rsidR="006B34D2" w:rsidRDefault="006B34D2" w:rsidP="004D667C">
            <w:pPr>
              <w:spacing w:before="120" w:after="120"/>
              <w:rPr>
                <w:rFonts w:ascii="Verdana" w:hAnsi="Verdana" w:cs="Arial"/>
                <w:b/>
              </w:rPr>
            </w:pPr>
            <w:r>
              <w:rPr>
                <w:rFonts w:ascii="Verdana" w:hAnsi="Verdana" w:cs="Arial"/>
                <w:b/>
              </w:rPr>
              <w:lastRenderedPageBreak/>
              <w:t>Date of Programme Specification Production:</w:t>
            </w:r>
          </w:p>
        </w:tc>
        <w:tc>
          <w:tcPr>
            <w:tcW w:w="7172" w:type="dxa"/>
            <w:tcBorders>
              <w:top w:val="single" w:sz="4" w:space="0" w:color="auto"/>
              <w:left w:val="single" w:sz="4" w:space="0" w:color="auto"/>
              <w:bottom w:val="single" w:sz="4" w:space="0" w:color="auto"/>
              <w:right w:val="single" w:sz="4" w:space="0" w:color="auto"/>
            </w:tcBorders>
            <w:vAlign w:val="center"/>
          </w:tcPr>
          <w:p w14:paraId="67B7A70C" w14:textId="3E37ACA9" w:rsidR="006B34D2" w:rsidRDefault="00CE7467" w:rsidP="004D667C">
            <w:pPr>
              <w:spacing w:before="120" w:after="120"/>
              <w:rPr>
                <w:rFonts w:ascii="Verdana" w:hAnsi="Verdana" w:cs="Arial"/>
                <w:sz w:val="20"/>
                <w:szCs w:val="20"/>
              </w:rPr>
            </w:pPr>
            <w:r>
              <w:rPr>
                <w:rFonts w:ascii="Verdana" w:hAnsi="Verdana" w:cs="Arial"/>
                <w:sz w:val="20"/>
                <w:szCs w:val="20"/>
              </w:rPr>
              <w:t>January 2022</w:t>
            </w:r>
          </w:p>
        </w:tc>
      </w:tr>
      <w:tr w:rsidR="006B34D2" w14:paraId="5DEEE551" w14:textId="77777777" w:rsidTr="006B34D2">
        <w:tc>
          <w:tcPr>
            <w:tcW w:w="3510"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2CB4E5FA" w14:textId="77777777" w:rsidR="006B34D2" w:rsidRDefault="006B34D2" w:rsidP="004D667C">
            <w:pPr>
              <w:spacing w:before="120" w:after="120"/>
              <w:rPr>
                <w:rFonts w:ascii="Verdana" w:hAnsi="Verdana" w:cs="Arial"/>
                <w:b/>
              </w:rPr>
            </w:pPr>
            <w:r>
              <w:rPr>
                <w:rFonts w:ascii="Verdana" w:hAnsi="Verdana" w:cs="Arial"/>
                <w:b/>
              </w:rPr>
              <w:t>Date Programme Specification was last updated:</w:t>
            </w:r>
          </w:p>
        </w:tc>
        <w:tc>
          <w:tcPr>
            <w:tcW w:w="7172" w:type="dxa"/>
            <w:tcBorders>
              <w:top w:val="single" w:sz="4" w:space="0" w:color="auto"/>
              <w:left w:val="single" w:sz="4" w:space="0" w:color="auto"/>
              <w:bottom w:val="single" w:sz="4" w:space="0" w:color="auto"/>
              <w:right w:val="single" w:sz="4" w:space="0" w:color="auto"/>
            </w:tcBorders>
            <w:vAlign w:val="center"/>
          </w:tcPr>
          <w:p w14:paraId="71887C79" w14:textId="59317A28" w:rsidR="006B34D2" w:rsidRDefault="00C9750D" w:rsidP="004D667C">
            <w:pPr>
              <w:spacing w:before="120" w:after="120"/>
              <w:rPr>
                <w:rFonts w:ascii="Verdana" w:hAnsi="Verdana" w:cs="Arial"/>
                <w:sz w:val="20"/>
                <w:szCs w:val="20"/>
              </w:rPr>
            </w:pPr>
            <w:r>
              <w:rPr>
                <w:rFonts w:ascii="Verdana" w:hAnsi="Verdana" w:cs="Arial"/>
                <w:sz w:val="20"/>
                <w:szCs w:val="20"/>
              </w:rPr>
              <w:t>January 2022</w:t>
            </w:r>
          </w:p>
        </w:tc>
      </w:tr>
      <w:tr w:rsidR="006B34D2" w14:paraId="430E6041" w14:textId="77777777" w:rsidTr="006B34D2">
        <w:tc>
          <w:tcPr>
            <w:tcW w:w="10682"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14:paraId="4B041557" w14:textId="77777777" w:rsidR="006B34D2" w:rsidRDefault="006B34D2" w:rsidP="004D667C">
            <w:pPr>
              <w:spacing w:before="120" w:after="120"/>
              <w:rPr>
                <w:rFonts w:ascii="Verdana" w:hAnsi="Verdana" w:cs="Arial"/>
                <w:b/>
              </w:rPr>
            </w:pPr>
            <w:r>
              <w:rPr>
                <w:rFonts w:ascii="Verdana" w:hAnsi="Verdana" w:cs="Arial"/>
                <w:b/>
              </w:rPr>
              <w:t>For further information about this programme, refer to the programme page on the University website</w:t>
            </w:r>
          </w:p>
        </w:tc>
      </w:tr>
    </w:tbl>
    <w:p w14:paraId="3B7FD67C" w14:textId="77777777" w:rsidR="006B34D2" w:rsidRDefault="006B34D2" w:rsidP="004D667C">
      <w:pPr>
        <w:spacing w:before="120" w:after="12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7"/>
        <w:gridCol w:w="4379"/>
      </w:tblGrid>
      <w:tr w:rsidR="006B34D2" w14:paraId="6E0A8B30" w14:textId="77777777" w:rsidTr="006B34D2">
        <w:tc>
          <w:tcPr>
            <w:tcW w:w="10682"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14:paraId="0FDB8E4F" w14:textId="266CDE90" w:rsidR="006B34D2" w:rsidRDefault="006B34D2" w:rsidP="004D667C">
            <w:pPr>
              <w:spacing w:before="120" w:after="120"/>
              <w:rPr>
                <w:rFonts w:ascii="Verdana" w:hAnsi="Verdana" w:cs="Arial"/>
                <w:b/>
              </w:rPr>
            </w:pPr>
            <w:r>
              <w:rPr>
                <w:rFonts w:ascii="Verdana" w:hAnsi="Verdana" w:cs="Arial"/>
                <w:b/>
              </w:rPr>
              <w:t xml:space="preserve">The following information has implications for potential international applicants who require </w:t>
            </w:r>
            <w:r w:rsidRPr="00DA1935">
              <w:rPr>
                <w:rFonts w:ascii="Verdana" w:hAnsi="Verdana" w:cs="Arial"/>
                <w:b/>
              </w:rPr>
              <w:t xml:space="preserve">a </w:t>
            </w:r>
            <w:r w:rsidR="00D8620D" w:rsidRPr="00DA1935">
              <w:rPr>
                <w:rFonts w:ascii="Verdana" w:hAnsi="Verdana" w:cs="Arial"/>
                <w:b/>
              </w:rPr>
              <w:t>Student V</w:t>
            </w:r>
            <w:r w:rsidRPr="00DA1935">
              <w:rPr>
                <w:rFonts w:ascii="Verdana" w:hAnsi="Verdana" w:cs="Arial"/>
                <w:b/>
              </w:rPr>
              <w:t>isa to</w:t>
            </w:r>
            <w:r>
              <w:rPr>
                <w:rFonts w:ascii="Verdana" w:hAnsi="Verdana" w:cs="Arial"/>
                <w:b/>
              </w:rPr>
              <w:t xml:space="preserve"> study in the UK</w:t>
            </w:r>
          </w:p>
        </w:tc>
      </w:tr>
      <w:tr w:rsidR="006B34D2" w14:paraId="72A978F0" w14:textId="77777777" w:rsidTr="006B34D2">
        <w:tc>
          <w:tcPr>
            <w:tcW w:w="6204"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6DCA39F7" w14:textId="77777777" w:rsidR="006B34D2" w:rsidRDefault="006B34D2" w:rsidP="004D667C">
            <w:pPr>
              <w:spacing w:before="120" w:after="120"/>
              <w:rPr>
                <w:rFonts w:ascii="Verdana" w:hAnsi="Verdana" w:cs="Arial"/>
                <w:b/>
              </w:rPr>
            </w:pPr>
            <w:r>
              <w:rPr>
                <w:rFonts w:ascii="Verdana" w:hAnsi="Verdana" w:cs="Arial"/>
                <w:b/>
              </w:rPr>
              <w:t>Is the placement requirement more than 50% of the programme?</w:t>
            </w:r>
          </w:p>
        </w:tc>
        <w:tc>
          <w:tcPr>
            <w:tcW w:w="4478" w:type="dxa"/>
            <w:tcBorders>
              <w:top w:val="single" w:sz="4" w:space="0" w:color="auto"/>
              <w:left w:val="single" w:sz="4" w:space="0" w:color="auto"/>
              <w:bottom w:val="single" w:sz="4" w:space="0" w:color="auto"/>
              <w:right w:val="single" w:sz="4" w:space="0" w:color="auto"/>
            </w:tcBorders>
            <w:vAlign w:val="center"/>
            <w:hideMark/>
          </w:tcPr>
          <w:p w14:paraId="7F84E9B1" w14:textId="3229010F" w:rsidR="006B34D2" w:rsidRDefault="006B34D2" w:rsidP="004D667C">
            <w:pPr>
              <w:spacing w:before="120" w:after="120"/>
              <w:rPr>
                <w:rFonts w:ascii="Verdana" w:hAnsi="Verdana" w:cs="Arial"/>
                <w:i/>
                <w:color w:val="FF0000"/>
                <w:sz w:val="20"/>
                <w:szCs w:val="20"/>
              </w:rPr>
            </w:pPr>
            <w:r>
              <w:rPr>
                <w:rFonts w:ascii="Verdana" w:hAnsi="Verdana" w:cs="Arial"/>
                <w:sz w:val="20"/>
                <w:szCs w:val="20"/>
              </w:rPr>
              <w:t>No</w:t>
            </w:r>
            <w:r w:rsidR="00040119">
              <w:rPr>
                <w:rFonts w:ascii="Verdana" w:hAnsi="Verdana" w:cs="Arial"/>
                <w:sz w:val="20"/>
                <w:szCs w:val="20"/>
              </w:rPr>
              <w:t>t applicable</w:t>
            </w:r>
          </w:p>
        </w:tc>
      </w:tr>
      <w:tr w:rsidR="006B34D2" w14:paraId="684449D7" w14:textId="77777777" w:rsidTr="006B34D2">
        <w:tc>
          <w:tcPr>
            <w:tcW w:w="6204"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11D2517A" w14:textId="77777777" w:rsidR="006B34D2" w:rsidRDefault="006B34D2" w:rsidP="004D667C">
            <w:pPr>
              <w:spacing w:before="120" w:after="120"/>
              <w:rPr>
                <w:rFonts w:ascii="Verdana" w:hAnsi="Verdana" w:cs="Arial"/>
                <w:b/>
              </w:rPr>
            </w:pPr>
            <w:r>
              <w:rPr>
                <w:rFonts w:ascii="Verdana" w:hAnsi="Verdana" w:cs="Arial"/>
                <w:b/>
              </w:rPr>
              <w:t>If yes, what % of the programme is the placement requirement?</w:t>
            </w:r>
          </w:p>
        </w:tc>
        <w:tc>
          <w:tcPr>
            <w:tcW w:w="4478" w:type="dxa"/>
            <w:tcBorders>
              <w:top w:val="single" w:sz="4" w:space="0" w:color="auto"/>
              <w:left w:val="single" w:sz="4" w:space="0" w:color="auto"/>
              <w:bottom w:val="single" w:sz="4" w:space="0" w:color="auto"/>
              <w:right w:val="single" w:sz="4" w:space="0" w:color="auto"/>
            </w:tcBorders>
            <w:vAlign w:val="center"/>
            <w:hideMark/>
          </w:tcPr>
          <w:p w14:paraId="2058AF6A" w14:textId="00576435" w:rsidR="006B34D2" w:rsidRDefault="00040119" w:rsidP="004D667C">
            <w:pPr>
              <w:spacing w:before="120" w:after="120"/>
              <w:rPr>
                <w:rFonts w:ascii="Verdana" w:hAnsi="Verdana" w:cs="Arial"/>
                <w:i/>
                <w:color w:val="C00000"/>
                <w:sz w:val="20"/>
                <w:szCs w:val="20"/>
              </w:rPr>
            </w:pPr>
            <w:r>
              <w:rPr>
                <w:rFonts w:ascii="Verdana" w:hAnsi="Verdana" w:cs="Arial"/>
                <w:sz w:val="20"/>
                <w:szCs w:val="20"/>
              </w:rPr>
              <w:t>Not applicable</w:t>
            </w:r>
          </w:p>
        </w:tc>
      </w:tr>
      <w:tr w:rsidR="006B34D2" w14:paraId="4A301674" w14:textId="77777777" w:rsidTr="006B34D2">
        <w:tc>
          <w:tcPr>
            <w:tcW w:w="6204"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4EA4865D" w14:textId="77777777" w:rsidR="006B34D2" w:rsidRDefault="006B34D2" w:rsidP="004D667C">
            <w:pPr>
              <w:spacing w:before="120" w:after="120"/>
              <w:rPr>
                <w:rFonts w:ascii="Verdana" w:hAnsi="Verdana" w:cs="Arial"/>
                <w:b/>
              </w:rPr>
            </w:pPr>
            <w:r>
              <w:rPr>
                <w:rFonts w:ascii="Verdana" w:hAnsi="Verdana" w:cs="Arial"/>
                <w:b/>
              </w:rPr>
              <w:t>If yes, is the amount of placement a statutory requirement to meet Professional, Statutory or Regulatory Body (PSRB) or Department of Education requirements?</w:t>
            </w:r>
          </w:p>
        </w:tc>
        <w:tc>
          <w:tcPr>
            <w:tcW w:w="4478" w:type="dxa"/>
            <w:tcBorders>
              <w:top w:val="single" w:sz="4" w:space="0" w:color="auto"/>
              <w:left w:val="single" w:sz="4" w:space="0" w:color="auto"/>
              <w:bottom w:val="single" w:sz="4" w:space="0" w:color="auto"/>
              <w:right w:val="single" w:sz="4" w:space="0" w:color="auto"/>
            </w:tcBorders>
            <w:vAlign w:val="center"/>
            <w:hideMark/>
          </w:tcPr>
          <w:p w14:paraId="38616BA1" w14:textId="275481F0" w:rsidR="006B34D2" w:rsidRDefault="00040119" w:rsidP="004D667C">
            <w:pPr>
              <w:spacing w:before="120" w:after="120"/>
              <w:rPr>
                <w:rFonts w:ascii="Verdana" w:hAnsi="Verdana" w:cs="Arial"/>
                <w:sz w:val="20"/>
                <w:szCs w:val="20"/>
              </w:rPr>
            </w:pPr>
            <w:r>
              <w:rPr>
                <w:rFonts w:ascii="Verdana" w:hAnsi="Verdana" w:cs="Arial"/>
                <w:sz w:val="20"/>
                <w:szCs w:val="20"/>
              </w:rPr>
              <w:t>Not applicable</w:t>
            </w:r>
          </w:p>
        </w:tc>
      </w:tr>
    </w:tbl>
    <w:p w14:paraId="3DFA44CE" w14:textId="77777777" w:rsidR="006B34D2" w:rsidRDefault="006B34D2" w:rsidP="004D667C">
      <w:pPr>
        <w:spacing w:before="120" w:after="120"/>
        <w:rPr>
          <w:rFonts w:ascii="Verdana" w:hAnsi="Verdana"/>
        </w:rPr>
      </w:pPr>
    </w:p>
    <w:p w14:paraId="38D6B9B6" w14:textId="77777777" w:rsidR="00366B8E" w:rsidRPr="006B34D2" w:rsidRDefault="00366B8E" w:rsidP="004D667C">
      <w:pPr>
        <w:spacing w:before="120" w:after="120"/>
      </w:pPr>
    </w:p>
    <w:sectPr w:rsidR="00366B8E" w:rsidRPr="006B34D2" w:rsidSect="00973A0E">
      <w:footerReference w:type="default" r:id="rId7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8866" w14:textId="77777777" w:rsidR="00BC34DC" w:rsidRDefault="00BC34DC" w:rsidP="00B5500F">
      <w:pPr>
        <w:spacing w:after="0" w:line="240" w:lineRule="auto"/>
      </w:pPr>
      <w:r>
        <w:separator/>
      </w:r>
    </w:p>
  </w:endnote>
  <w:endnote w:type="continuationSeparator" w:id="0">
    <w:p w14:paraId="052BE16F" w14:textId="77777777" w:rsidR="00BC34DC" w:rsidRDefault="00BC34DC" w:rsidP="00B5500F">
      <w:pPr>
        <w:spacing w:after="0" w:line="240" w:lineRule="auto"/>
      </w:pPr>
      <w:r>
        <w:continuationSeparator/>
      </w:r>
    </w:p>
  </w:endnote>
  <w:endnote w:type="continuationNotice" w:id="1">
    <w:p w14:paraId="2072B1A2" w14:textId="77777777" w:rsidR="00BC34DC" w:rsidRDefault="00BC3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neSan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316383"/>
      <w:docPartObj>
        <w:docPartGallery w:val="Page Numbers (Bottom of Page)"/>
        <w:docPartUnique/>
      </w:docPartObj>
    </w:sdtPr>
    <w:sdtEndPr>
      <w:rPr>
        <w:noProof/>
      </w:rPr>
    </w:sdtEndPr>
    <w:sdtContent>
      <w:p w14:paraId="058DB546" w14:textId="7D0839D7" w:rsidR="00EF2D8F" w:rsidRDefault="00EF2D8F" w:rsidP="00583AD6">
        <w:pPr>
          <w:pStyle w:val="Footer"/>
          <w:jc w:val="center"/>
        </w:pPr>
        <w:r>
          <w:fldChar w:fldCharType="begin"/>
        </w:r>
        <w:r>
          <w:instrText xml:space="preserve"> PAGE   \* MERGEFORMAT </w:instrText>
        </w:r>
        <w:r>
          <w:fldChar w:fldCharType="separate"/>
        </w:r>
        <w:r w:rsidR="00CE7467">
          <w:rPr>
            <w:noProof/>
          </w:rPr>
          <w:t>21</w:t>
        </w:r>
        <w:r>
          <w:rPr>
            <w:noProof/>
          </w:rPr>
          <w:fldChar w:fldCharType="end"/>
        </w:r>
      </w:p>
    </w:sdtContent>
  </w:sdt>
  <w:p w14:paraId="4B01A83A" w14:textId="77777777" w:rsidR="00EF2D8F" w:rsidRDefault="00EF2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5275" w14:textId="77777777" w:rsidR="00EF2D8F" w:rsidRPr="00E30BA3" w:rsidRDefault="00EF2D8F" w:rsidP="00E30BA3">
    <w:pPr>
      <w:spacing w:after="0" w:line="240" w:lineRule="auto"/>
      <w:jc w:val="center"/>
      <w:rPr>
        <w:rFonts w:ascii="Verdana" w:eastAsia="Times New Roman" w:hAnsi="Verdana"/>
        <w:sz w:val="16"/>
        <w:szCs w:val="16"/>
        <w:lang w:eastAsia="en-GB"/>
      </w:rPr>
    </w:pPr>
    <w:r w:rsidRPr="00E30BA3">
      <w:rPr>
        <w:rFonts w:ascii="Verdana" w:eastAsia="Times New Roman" w:hAnsi="Verdana"/>
        <w:sz w:val="16"/>
        <w:szCs w:val="16"/>
        <w:lang w:eastAsia="en-GB"/>
      </w:rPr>
      <w:t xml:space="preserve">All rights including copyright in the content of this programme are owned or controlled by the University of Cumbria. Except as otherwise expressly permitted under copyright law or by the University of Cumbria, the content of the programme may not be copied, duplicated, reproduced, republished, posted, </w:t>
    </w:r>
    <w:proofErr w:type="gramStart"/>
    <w:r w:rsidRPr="00E30BA3">
      <w:rPr>
        <w:rFonts w:ascii="Verdana" w:eastAsia="Times New Roman" w:hAnsi="Verdana"/>
        <w:sz w:val="16"/>
        <w:szCs w:val="16"/>
        <w:lang w:eastAsia="en-GB"/>
      </w:rPr>
      <w:t>distributed</w:t>
    </w:r>
    <w:proofErr w:type="gramEnd"/>
    <w:r w:rsidRPr="00E30BA3">
      <w:rPr>
        <w:rFonts w:ascii="Verdana" w:eastAsia="Times New Roman" w:hAnsi="Verdana"/>
        <w:sz w:val="16"/>
        <w:szCs w:val="16"/>
        <w:lang w:eastAsia="en-GB"/>
      </w:rPr>
      <w:t xml:space="preserve"> or broadcast in any way without the written permission of the University of Cumbria</w:t>
    </w:r>
  </w:p>
  <w:p w14:paraId="70C2A2FB" w14:textId="4B98E24E" w:rsidR="00EF2D8F" w:rsidRPr="00BC2FC5" w:rsidRDefault="00EF2D8F">
    <w:pPr>
      <w:pStyle w:val="Footer"/>
      <w:rPr>
        <w:sz w:val="20"/>
        <w:szCs w:val="20"/>
      </w:rPr>
    </w:pPr>
    <w:r>
      <w:rPr>
        <w:sz w:val="20"/>
        <w:szCs w:val="20"/>
      </w:rPr>
      <w:t xml:space="preserve">v. </w:t>
    </w:r>
    <w:r w:rsidRPr="00BC2FC5">
      <w:rPr>
        <w:sz w:val="20"/>
        <w:szCs w:val="20"/>
      </w:rPr>
      <w:t>Aug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FB90" w14:textId="51F57494" w:rsidR="00EF2D8F" w:rsidRDefault="00EF2D8F" w:rsidP="00465D77">
    <w:pPr>
      <w:pStyle w:val="Footer"/>
      <w:jc w:val="center"/>
    </w:pPr>
    <w:r>
      <w:fldChar w:fldCharType="begin"/>
    </w:r>
    <w:r>
      <w:instrText xml:space="preserve"> PAGE   \* MERGEFORMAT </w:instrText>
    </w:r>
    <w:r>
      <w:fldChar w:fldCharType="separate"/>
    </w:r>
    <w:r w:rsidR="00CE7467">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1AB1" w14:textId="77777777" w:rsidR="00BC34DC" w:rsidRDefault="00BC34DC" w:rsidP="00B5500F">
      <w:pPr>
        <w:spacing w:after="0" w:line="240" w:lineRule="auto"/>
      </w:pPr>
      <w:r>
        <w:separator/>
      </w:r>
    </w:p>
  </w:footnote>
  <w:footnote w:type="continuationSeparator" w:id="0">
    <w:p w14:paraId="2D5C278D" w14:textId="77777777" w:rsidR="00BC34DC" w:rsidRDefault="00BC34DC" w:rsidP="00B5500F">
      <w:pPr>
        <w:spacing w:after="0" w:line="240" w:lineRule="auto"/>
      </w:pPr>
      <w:r>
        <w:continuationSeparator/>
      </w:r>
    </w:p>
  </w:footnote>
  <w:footnote w:type="continuationNotice" w:id="1">
    <w:p w14:paraId="3C4B7979" w14:textId="77777777" w:rsidR="00BC34DC" w:rsidRDefault="00BC34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DC74" w14:textId="2AB92962" w:rsidR="00EF2D8F" w:rsidRDefault="00EF2D8F" w:rsidP="00E30BA3">
    <w:pPr>
      <w:pStyle w:val="Header"/>
      <w:spacing w:after="0" w:line="240" w:lineRule="auto"/>
      <w:rPr>
        <w:rFonts w:ascii="Verdana" w:hAnsi="Verdana"/>
        <w:b/>
        <w:sz w:val="32"/>
      </w:rPr>
    </w:pPr>
    <w:r>
      <w:rPr>
        <w:rFonts w:ascii="Verdana" w:hAnsi="Verdana"/>
        <w:b/>
        <w:bCs/>
        <w:noProof/>
        <w:sz w:val="32"/>
        <w:szCs w:val="32"/>
        <w:lang w:eastAsia="en-GB"/>
      </w:rPr>
      <w:drawing>
        <wp:anchor distT="0" distB="0" distL="114300" distR="114300" simplePos="0" relativeHeight="251658240" behindDoc="0" locked="0" layoutInCell="1" allowOverlap="1" wp14:anchorId="1C755711" wp14:editId="15030328">
          <wp:simplePos x="0" y="0"/>
          <wp:positionH relativeFrom="margin">
            <wp:posOffset>5996940</wp:posOffset>
          </wp:positionH>
          <wp:positionV relativeFrom="paragraph">
            <wp:posOffset>-269875</wp:posOffset>
          </wp:positionV>
          <wp:extent cx="657225" cy="772332"/>
          <wp:effectExtent l="0" t="0" r="0" b="8890"/>
          <wp:wrapNone/>
          <wp:docPr id="13" name="Picture 1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7225" cy="772332"/>
                  </a:xfrm>
                  <a:prstGeom prst="rect">
                    <a:avLst/>
                  </a:prstGeom>
                </pic:spPr>
              </pic:pic>
            </a:graphicData>
          </a:graphic>
          <wp14:sizeRelH relativeFrom="page">
            <wp14:pctWidth>0</wp14:pctWidth>
          </wp14:sizeRelH>
          <wp14:sizeRelV relativeFrom="page">
            <wp14:pctHeight>0</wp14:pctHeight>
          </wp14:sizeRelV>
        </wp:anchor>
      </w:drawing>
    </w:r>
    <w:r w:rsidRPr="13133979">
      <w:rPr>
        <w:rFonts w:ascii="Verdana" w:hAnsi="Verdana"/>
        <w:b/>
        <w:bCs/>
        <w:sz w:val="32"/>
        <w:szCs w:val="32"/>
      </w:rPr>
      <w:t>Programme Specification</w:t>
    </w:r>
  </w:p>
  <w:p w14:paraId="286C92A9" w14:textId="77777777" w:rsidR="00EF2D8F" w:rsidRDefault="00EF2D8F">
    <w:pPr>
      <w:pStyle w:val="Header"/>
    </w:pPr>
  </w:p>
</w:hdr>
</file>

<file path=word/intelligence2.xml><?xml version="1.0" encoding="utf-8"?>
<int2:intelligence xmlns:int2="http://schemas.microsoft.com/office/intelligence/2020/intelligence" xmlns:oel="http://schemas.microsoft.com/office/2019/extlst">
  <int2:observations>
    <int2:textHash int2:hashCode="5578RSD71LJcNm" int2:id="AwHNFQTx">
      <int2:state int2:value="Rejected" int2:type="AugLoop_Text_Critique"/>
    </int2:textHash>
    <int2:textHash int2:hashCode="oDKeFME1Nby2NZ" int2:id="TEAZ1Txb">
      <int2:state int2:value="Rejected" int2:type="AugLoop_Text_Critique"/>
    </int2:textHash>
    <int2:textHash int2:hashCode="N/p4BTubAqm4Le" int2:id="THPaSSfs">
      <int2:state int2:value="Rejected" int2:type="AugLoop_Text_Critique"/>
    </int2:textHash>
    <int2:textHash int2:hashCode="78ySSKc6j+udBR" int2:id="lGm8ZGiM">
      <int2:state int2:value="Rejected" int2:type="AugLoop_Text_Critique"/>
    </int2:textHash>
    <int2:textHash int2:hashCode="Ra75bsk4bBwM6c" int2:id="Gzvl7g3h">
      <int2:state int2:value="Rejected" int2:type="AugLoop_Text_Critique"/>
    </int2:textHash>
    <int2:textHash int2:hashCode="3tXtuUxopbDg7p" int2:id="bObSO3tr">
      <int2:state int2:value="Rejected" int2:type="AugLoop_Acronyms_AcronymsCritique"/>
    </int2:textHash>
    <int2:textHash int2:hashCode="p3mwUvZzZVsEj9" int2:id="NgoP3MFZ">
      <int2:state int2:value="Rejected" int2:type="LegacyProofing"/>
    </int2:textHash>
    <int2:textHash int2:hashCode="z1s4Na1rCqOYGP" int2:id="JnrOcNrm">
      <int2:state int2:value="Rejected" int2:type="LegacyProofing"/>
    </int2:textHash>
    <int2:textHash int2:hashCode="PA2SzZIeboz3wH" int2:id="mKvanRdU">
      <int2:state int2:value="Rejected" int2:type="LegacyProofing"/>
    </int2:textHash>
    <int2:textHash int2:hashCode="QU4Y5xuQDFyY/G" int2:id="2oayyfK8">
      <int2:state int2:value="Rejected" int2:type="LegacyProofing"/>
    </int2:textHash>
    <int2:textHash int2:hashCode="ja7Q4wMyfNUQux" int2:id="awLF8oJ8">
      <int2:state int2:value="Rejected" int2:type="LegacyProofing"/>
    </int2:textHash>
    <int2:textHash int2:hashCode="iCD6ZVmZD/nIvs" int2:id="j0pmGTZN">
      <int2:state int2:value="Rejected" int2:type="LegacyProofing"/>
    </int2:textHash>
    <int2:textHash int2:hashCode="zKklhnNNXMnYDK" int2:id="LZ4mm66B">
      <int2:state int2:value="Rejected" int2:type="LegacyProofing"/>
    </int2:textHash>
    <int2:textHash int2:hashCode="YC4hGVjAE9Zi1n" int2:id="hmDa2f7f">
      <int2:state int2:value="Rejected" int2:type="LegacyProofing"/>
    </int2:textHash>
    <int2:textHash int2:hashCode="3VQK/1LAqr50tL" int2:id="Z2r5OLke">
      <int2:state int2:value="Rejected" int2:type="LegacyProofing"/>
    </int2:textHash>
    <int2:textHash int2:hashCode="N0e0y8arjK8YRc" int2:id="ohUNvDz4">
      <int2:state int2:value="Rejected" int2:type="LegacyProofing"/>
    </int2:textHash>
    <int2:textHash int2:hashCode="ScBYTLzzw0Ciai" int2:id="eWavyb4H">
      <int2:state int2:value="Rejected" int2:type="LegacyProofing"/>
    </int2:textHash>
    <int2:bookmark int2:bookmarkName="_Int_BIFKJaX8" int2:invalidationBookmarkName="" int2:hashCode="f1OmjTJDRvyEV6" int2:id="yF67tld0">
      <int2:state int2:value="Rejected" int2:type="LegacyProofing"/>
    </int2:bookmark>
    <int2:bookmark int2:bookmarkName="_Int_Gh0vqQ2L" int2:invalidationBookmarkName="" int2:hashCode="f1OmjTJDRvyEV6" int2:id="DrW06r8a">
      <int2:state int2:value="Rejected" int2:type="LegacyProofing"/>
    </int2:bookmark>
    <int2:bookmark int2:bookmarkName="_Int_xTVkqYYl" int2:invalidationBookmarkName="" int2:hashCode="cVQy3PML4QQtCl" int2:id="EtenhRrq">
      <int2:state int2:value="Rejected" int2:type="LegacyProofing"/>
    </int2:bookmark>
    <int2:bookmark int2:bookmarkName="_Int_GOzplIi1" int2:invalidationBookmarkName="" int2:hashCode="f1OmjTJDRvyEV6" int2:id="qjMcvXqJ">
      <int2:state int2:value="Rejected" int2:type="LegacyProofing"/>
    </int2:bookmark>
    <int2:bookmark int2:bookmarkName="_Int_t58vIium" int2:invalidationBookmarkName="" int2:hashCode="cVQy3PML4QQtCl" int2:id="lA0OV7vi">
      <int2:state int2:value="Rejected" int2:type="LegacyProofing"/>
    </int2:bookmark>
    <int2:bookmark int2:bookmarkName="_Int_0zdGge83" int2:invalidationBookmarkName="" int2:hashCode="f1OmjTJDRvyEV6" int2:id="z5AiwS2u">
      <int2:state int2:value="Rejected" int2:type="LegacyProofing"/>
    </int2:bookmark>
    <int2:bookmark int2:bookmarkName="_Int_7nmkAycm" int2:invalidationBookmarkName="" int2:hashCode="pgLiFutEo6xeCW" int2:id="A8AHwanI">
      <int2:state int2:value="Rejected" int2:type="LegacyProofing"/>
    </int2:bookmark>
    <int2:bookmark int2:bookmarkName="_Int_brfXnsph" int2:invalidationBookmarkName="" int2:hashCode="F1g1bbIXWffFoN" int2:id="9AnJDWde">
      <int2:state int2:value="Rejected" int2:type="LegacyProofing"/>
    </int2:bookmark>
    <int2:bookmark int2:bookmarkName="_Int_muBLV5Lo" int2:invalidationBookmarkName="" int2:hashCode="pgLiFutEo6xeCW" int2:id="yxHCb5sn">
      <int2:state int2:value="Rejected" int2:type="LegacyProofing"/>
    </int2:bookmark>
    <int2:bookmark int2:bookmarkName="_Int_VMnrFuTD" int2:invalidationBookmarkName="" int2:hashCode="F1g1bbIXWffFoN" int2:id="OoXKPm1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34B"/>
    <w:multiLevelType w:val="hybridMultilevel"/>
    <w:tmpl w:val="AE90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71AAC"/>
    <w:multiLevelType w:val="hybridMultilevel"/>
    <w:tmpl w:val="F63AA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E474B4"/>
    <w:multiLevelType w:val="hybridMultilevel"/>
    <w:tmpl w:val="FD2E519C"/>
    <w:lvl w:ilvl="0" w:tplc="DF0AF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3F0A59"/>
    <w:multiLevelType w:val="hybridMultilevel"/>
    <w:tmpl w:val="F468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53BC8"/>
    <w:multiLevelType w:val="hybridMultilevel"/>
    <w:tmpl w:val="3FC4D0CA"/>
    <w:lvl w:ilvl="0" w:tplc="77E6560E">
      <w:start w:val="1"/>
      <w:numFmt w:val="decimal"/>
      <w:lvlText w:val="%1."/>
      <w:lvlJc w:val="left"/>
      <w:pPr>
        <w:ind w:left="720" w:hanging="360"/>
      </w:pPr>
    </w:lvl>
    <w:lvl w:ilvl="1" w:tplc="B4AE0C36">
      <w:start w:val="1"/>
      <w:numFmt w:val="lowerLetter"/>
      <w:lvlText w:val="%2."/>
      <w:lvlJc w:val="left"/>
      <w:pPr>
        <w:ind w:left="1440" w:hanging="360"/>
      </w:pPr>
    </w:lvl>
    <w:lvl w:ilvl="2" w:tplc="C266340A">
      <w:start w:val="1"/>
      <w:numFmt w:val="lowerRoman"/>
      <w:lvlText w:val="%3."/>
      <w:lvlJc w:val="right"/>
      <w:pPr>
        <w:ind w:left="2160" w:hanging="180"/>
      </w:pPr>
    </w:lvl>
    <w:lvl w:ilvl="3" w:tplc="B60A3580">
      <w:start w:val="1"/>
      <w:numFmt w:val="decimal"/>
      <w:lvlText w:val="%4."/>
      <w:lvlJc w:val="left"/>
      <w:pPr>
        <w:ind w:left="2880" w:hanging="360"/>
      </w:pPr>
    </w:lvl>
    <w:lvl w:ilvl="4" w:tplc="C2F02B6E">
      <w:start w:val="1"/>
      <w:numFmt w:val="lowerLetter"/>
      <w:lvlText w:val="%5."/>
      <w:lvlJc w:val="left"/>
      <w:pPr>
        <w:ind w:left="3600" w:hanging="360"/>
      </w:pPr>
    </w:lvl>
    <w:lvl w:ilvl="5" w:tplc="798EB34A">
      <w:start w:val="1"/>
      <w:numFmt w:val="lowerRoman"/>
      <w:lvlText w:val="%6."/>
      <w:lvlJc w:val="right"/>
      <w:pPr>
        <w:ind w:left="4320" w:hanging="180"/>
      </w:pPr>
    </w:lvl>
    <w:lvl w:ilvl="6" w:tplc="A6848F40">
      <w:start w:val="1"/>
      <w:numFmt w:val="decimal"/>
      <w:lvlText w:val="%7."/>
      <w:lvlJc w:val="left"/>
      <w:pPr>
        <w:ind w:left="5040" w:hanging="360"/>
      </w:pPr>
    </w:lvl>
    <w:lvl w:ilvl="7" w:tplc="1B642070">
      <w:start w:val="1"/>
      <w:numFmt w:val="lowerLetter"/>
      <w:lvlText w:val="%8."/>
      <w:lvlJc w:val="left"/>
      <w:pPr>
        <w:ind w:left="5760" w:hanging="360"/>
      </w:pPr>
    </w:lvl>
    <w:lvl w:ilvl="8" w:tplc="A9AC9C78">
      <w:start w:val="1"/>
      <w:numFmt w:val="lowerRoman"/>
      <w:lvlText w:val="%9."/>
      <w:lvlJc w:val="right"/>
      <w:pPr>
        <w:ind w:left="6480" w:hanging="180"/>
      </w:pPr>
    </w:lvl>
  </w:abstractNum>
  <w:abstractNum w:abstractNumId="5" w15:restartNumberingAfterBreak="0">
    <w:nsid w:val="114C5379"/>
    <w:multiLevelType w:val="hybridMultilevel"/>
    <w:tmpl w:val="23302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790585"/>
    <w:multiLevelType w:val="hybridMultilevel"/>
    <w:tmpl w:val="A69A09E8"/>
    <w:lvl w:ilvl="0" w:tplc="56C8AA9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F668D"/>
    <w:multiLevelType w:val="hybridMultilevel"/>
    <w:tmpl w:val="DD24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85F19"/>
    <w:multiLevelType w:val="hybridMultilevel"/>
    <w:tmpl w:val="E05A9600"/>
    <w:lvl w:ilvl="0" w:tplc="FFFFFFFF">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762C9E"/>
    <w:multiLevelType w:val="hybridMultilevel"/>
    <w:tmpl w:val="AFD4D58C"/>
    <w:lvl w:ilvl="0" w:tplc="F8BAAC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6F1093"/>
    <w:multiLevelType w:val="hybridMultilevel"/>
    <w:tmpl w:val="0F0C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12F31"/>
    <w:multiLevelType w:val="hybridMultilevel"/>
    <w:tmpl w:val="7182289A"/>
    <w:lvl w:ilvl="0" w:tplc="0414E4AA">
      <w:start w:val="1"/>
      <w:numFmt w:val="bullet"/>
      <w:lvlText w:val=""/>
      <w:lvlJc w:val="left"/>
      <w:pPr>
        <w:ind w:left="720" w:hanging="360"/>
      </w:pPr>
      <w:rPr>
        <w:rFonts w:ascii="Symbol" w:hAnsi="Symbol" w:hint="default"/>
      </w:rPr>
    </w:lvl>
    <w:lvl w:ilvl="1" w:tplc="00E6C07E">
      <w:start w:val="1"/>
      <w:numFmt w:val="bullet"/>
      <w:lvlText w:val="o"/>
      <w:lvlJc w:val="left"/>
      <w:pPr>
        <w:ind w:left="1440" w:hanging="360"/>
      </w:pPr>
      <w:rPr>
        <w:rFonts w:ascii="Courier New" w:hAnsi="Courier New" w:hint="default"/>
      </w:rPr>
    </w:lvl>
    <w:lvl w:ilvl="2" w:tplc="2C34172A">
      <w:start w:val="1"/>
      <w:numFmt w:val="bullet"/>
      <w:lvlText w:val=""/>
      <w:lvlJc w:val="left"/>
      <w:pPr>
        <w:ind w:left="2160" w:hanging="360"/>
      </w:pPr>
      <w:rPr>
        <w:rFonts w:ascii="Wingdings" w:hAnsi="Wingdings" w:hint="default"/>
      </w:rPr>
    </w:lvl>
    <w:lvl w:ilvl="3" w:tplc="F366439A">
      <w:start w:val="1"/>
      <w:numFmt w:val="bullet"/>
      <w:lvlText w:val=""/>
      <w:lvlJc w:val="left"/>
      <w:pPr>
        <w:ind w:left="2880" w:hanging="360"/>
      </w:pPr>
      <w:rPr>
        <w:rFonts w:ascii="Symbol" w:hAnsi="Symbol" w:hint="default"/>
      </w:rPr>
    </w:lvl>
    <w:lvl w:ilvl="4" w:tplc="CD96AA66">
      <w:start w:val="1"/>
      <w:numFmt w:val="bullet"/>
      <w:lvlText w:val="o"/>
      <w:lvlJc w:val="left"/>
      <w:pPr>
        <w:ind w:left="3600" w:hanging="360"/>
      </w:pPr>
      <w:rPr>
        <w:rFonts w:ascii="Courier New" w:hAnsi="Courier New" w:hint="default"/>
      </w:rPr>
    </w:lvl>
    <w:lvl w:ilvl="5" w:tplc="A61C019C">
      <w:start w:val="1"/>
      <w:numFmt w:val="bullet"/>
      <w:lvlText w:val=""/>
      <w:lvlJc w:val="left"/>
      <w:pPr>
        <w:ind w:left="4320" w:hanging="360"/>
      </w:pPr>
      <w:rPr>
        <w:rFonts w:ascii="Wingdings" w:hAnsi="Wingdings" w:hint="default"/>
      </w:rPr>
    </w:lvl>
    <w:lvl w:ilvl="6" w:tplc="357E6B06">
      <w:start w:val="1"/>
      <w:numFmt w:val="bullet"/>
      <w:lvlText w:val=""/>
      <w:lvlJc w:val="left"/>
      <w:pPr>
        <w:ind w:left="5040" w:hanging="360"/>
      </w:pPr>
      <w:rPr>
        <w:rFonts w:ascii="Symbol" w:hAnsi="Symbol" w:hint="default"/>
      </w:rPr>
    </w:lvl>
    <w:lvl w:ilvl="7" w:tplc="521EBF9C">
      <w:start w:val="1"/>
      <w:numFmt w:val="bullet"/>
      <w:lvlText w:val="o"/>
      <w:lvlJc w:val="left"/>
      <w:pPr>
        <w:ind w:left="5760" w:hanging="360"/>
      </w:pPr>
      <w:rPr>
        <w:rFonts w:ascii="Courier New" w:hAnsi="Courier New" w:hint="default"/>
      </w:rPr>
    </w:lvl>
    <w:lvl w:ilvl="8" w:tplc="35EC2D54">
      <w:start w:val="1"/>
      <w:numFmt w:val="bullet"/>
      <w:lvlText w:val=""/>
      <w:lvlJc w:val="left"/>
      <w:pPr>
        <w:ind w:left="6480" w:hanging="360"/>
      </w:pPr>
      <w:rPr>
        <w:rFonts w:ascii="Wingdings" w:hAnsi="Wingdings" w:hint="default"/>
      </w:rPr>
    </w:lvl>
  </w:abstractNum>
  <w:abstractNum w:abstractNumId="12" w15:restartNumberingAfterBreak="0">
    <w:nsid w:val="35682238"/>
    <w:multiLevelType w:val="hybridMultilevel"/>
    <w:tmpl w:val="3B987FD6"/>
    <w:lvl w:ilvl="0" w:tplc="B354129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C63C40"/>
    <w:multiLevelType w:val="hybridMultilevel"/>
    <w:tmpl w:val="22F0AD1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3D482479"/>
    <w:multiLevelType w:val="hybridMultilevel"/>
    <w:tmpl w:val="E79E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33F38"/>
    <w:multiLevelType w:val="multilevel"/>
    <w:tmpl w:val="286C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961774"/>
    <w:multiLevelType w:val="hybridMultilevel"/>
    <w:tmpl w:val="E05A9600"/>
    <w:lvl w:ilvl="0" w:tplc="FFFFFFFF">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D0263C"/>
    <w:multiLevelType w:val="hybridMultilevel"/>
    <w:tmpl w:val="10C2694A"/>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A08FF"/>
    <w:multiLevelType w:val="hybridMultilevel"/>
    <w:tmpl w:val="C6CC2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704E9D"/>
    <w:multiLevelType w:val="hybridMultilevel"/>
    <w:tmpl w:val="5D12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16E73"/>
    <w:multiLevelType w:val="hybridMultilevel"/>
    <w:tmpl w:val="1D267AFC"/>
    <w:lvl w:ilvl="0" w:tplc="EF8EC996">
      <w:start w:val="1"/>
      <w:numFmt w:val="decimal"/>
      <w:lvlText w:val="%1."/>
      <w:lvlJc w:val="left"/>
      <w:pPr>
        <w:ind w:left="720" w:hanging="360"/>
      </w:pPr>
      <w:rPr>
        <w:rFonts w:eastAsia="Verdana" w:cs="Verdan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1C2542"/>
    <w:multiLevelType w:val="hybridMultilevel"/>
    <w:tmpl w:val="2CFE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51098"/>
    <w:multiLevelType w:val="hybridMultilevel"/>
    <w:tmpl w:val="88605582"/>
    <w:lvl w:ilvl="0" w:tplc="ECD68E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248A3"/>
    <w:multiLevelType w:val="hybridMultilevel"/>
    <w:tmpl w:val="91E2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463E35"/>
    <w:multiLevelType w:val="hybridMultilevel"/>
    <w:tmpl w:val="6074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21F00"/>
    <w:multiLevelType w:val="hybridMultilevel"/>
    <w:tmpl w:val="B58AEDEE"/>
    <w:lvl w:ilvl="0" w:tplc="5FAE2F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623E58"/>
    <w:multiLevelType w:val="hybridMultilevel"/>
    <w:tmpl w:val="E378024A"/>
    <w:lvl w:ilvl="0" w:tplc="D980AFFC">
      <w:start w:val="1"/>
      <w:numFmt w:val="bullet"/>
      <w:lvlText w:val=""/>
      <w:lvlJc w:val="left"/>
      <w:pPr>
        <w:ind w:left="47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23162"/>
    <w:multiLevelType w:val="hybridMultilevel"/>
    <w:tmpl w:val="60F4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110775"/>
    <w:multiLevelType w:val="hybridMultilevel"/>
    <w:tmpl w:val="83CA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FE7125"/>
    <w:multiLevelType w:val="hybridMultilevel"/>
    <w:tmpl w:val="F4EA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232FE"/>
    <w:multiLevelType w:val="hybridMultilevel"/>
    <w:tmpl w:val="2210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365656">
    <w:abstractNumId w:val="4"/>
  </w:num>
  <w:num w:numId="2" w16cid:durableId="628124479">
    <w:abstractNumId w:val="22"/>
  </w:num>
  <w:num w:numId="3" w16cid:durableId="1137530276">
    <w:abstractNumId w:val="7"/>
  </w:num>
  <w:num w:numId="4" w16cid:durableId="1907303587">
    <w:abstractNumId w:val="5"/>
  </w:num>
  <w:num w:numId="5" w16cid:durableId="54849189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3804692">
    <w:abstractNumId w:val="29"/>
  </w:num>
  <w:num w:numId="7" w16cid:durableId="1612125389">
    <w:abstractNumId w:val="30"/>
  </w:num>
  <w:num w:numId="8" w16cid:durableId="1315645288">
    <w:abstractNumId w:val="0"/>
  </w:num>
  <w:num w:numId="9" w16cid:durableId="969089887">
    <w:abstractNumId w:val="10"/>
  </w:num>
  <w:num w:numId="10" w16cid:durableId="139739249">
    <w:abstractNumId w:val="19"/>
  </w:num>
  <w:num w:numId="11" w16cid:durableId="1327396974">
    <w:abstractNumId w:val="12"/>
  </w:num>
  <w:num w:numId="12" w16cid:durableId="333991828">
    <w:abstractNumId w:val="1"/>
  </w:num>
  <w:num w:numId="13" w16cid:durableId="1115909535">
    <w:abstractNumId w:val="13"/>
  </w:num>
  <w:num w:numId="14" w16cid:durableId="1403262203">
    <w:abstractNumId w:val="9"/>
  </w:num>
  <w:num w:numId="15" w16cid:durableId="1081953396">
    <w:abstractNumId w:val="27"/>
  </w:num>
  <w:num w:numId="16" w16cid:durableId="1482384351">
    <w:abstractNumId w:val="18"/>
  </w:num>
  <w:num w:numId="17" w16cid:durableId="368993758">
    <w:abstractNumId w:val="21"/>
  </w:num>
  <w:num w:numId="18" w16cid:durableId="1307197436">
    <w:abstractNumId w:val="28"/>
  </w:num>
  <w:num w:numId="19" w16cid:durableId="1007173365">
    <w:abstractNumId w:val="24"/>
  </w:num>
  <w:num w:numId="20" w16cid:durableId="897131026">
    <w:abstractNumId w:val="8"/>
  </w:num>
  <w:num w:numId="21" w16cid:durableId="1035429951">
    <w:abstractNumId w:val="6"/>
  </w:num>
  <w:num w:numId="22" w16cid:durableId="780342348">
    <w:abstractNumId w:val="11"/>
  </w:num>
  <w:num w:numId="23" w16cid:durableId="1460227467">
    <w:abstractNumId w:val="15"/>
  </w:num>
  <w:num w:numId="24" w16cid:durableId="644162265">
    <w:abstractNumId w:val="26"/>
  </w:num>
  <w:num w:numId="25" w16cid:durableId="1216116854">
    <w:abstractNumId w:val="17"/>
  </w:num>
  <w:num w:numId="26" w16cid:durableId="1990279954">
    <w:abstractNumId w:val="25"/>
  </w:num>
  <w:num w:numId="27" w16cid:durableId="1172526036">
    <w:abstractNumId w:val="14"/>
  </w:num>
  <w:num w:numId="28" w16cid:durableId="375592615">
    <w:abstractNumId w:val="23"/>
  </w:num>
  <w:num w:numId="29" w16cid:durableId="1313100981">
    <w:abstractNumId w:val="3"/>
  </w:num>
  <w:num w:numId="30" w16cid:durableId="1102337152">
    <w:abstractNumId w:val="2"/>
  </w:num>
  <w:num w:numId="31" w16cid:durableId="660349393">
    <w:abstractNumId w:val="16"/>
  </w:num>
  <w:num w:numId="32" w16cid:durableId="29310293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4B"/>
    <w:rsid w:val="00001AAF"/>
    <w:rsid w:val="00002E03"/>
    <w:rsid w:val="00004C11"/>
    <w:rsid w:val="00006733"/>
    <w:rsid w:val="00006ABE"/>
    <w:rsid w:val="00007E28"/>
    <w:rsid w:val="00012528"/>
    <w:rsid w:val="00013EC6"/>
    <w:rsid w:val="0001503A"/>
    <w:rsid w:val="000156A0"/>
    <w:rsid w:val="00016696"/>
    <w:rsid w:val="00020175"/>
    <w:rsid w:val="00023434"/>
    <w:rsid w:val="00024972"/>
    <w:rsid w:val="00032AA2"/>
    <w:rsid w:val="00032E2F"/>
    <w:rsid w:val="00033CC9"/>
    <w:rsid w:val="00033DC1"/>
    <w:rsid w:val="0003682B"/>
    <w:rsid w:val="00040119"/>
    <w:rsid w:val="0004276C"/>
    <w:rsid w:val="00043692"/>
    <w:rsid w:val="00053F94"/>
    <w:rsid w:val="0005748D"/>
    <w:rsid w:val="000653D3"/>
    <w:rsid w:val="0006691F"/>
    <w:rsid w:val="000711EE"/>
    <w:rsid w:val="000730B8"/>
    <w:rsid w:val="000813BC"/>
    <w:rsid w:val="00090BBE"/>
    <w:rsid w:val="00094D18"/>
    <w:rsid w:val="000A4208"/>
    <w:rsid w:val="000A6EA8"/>
    <w:rsid w:val="000B2DDC"/>
    <w:rsid w:val="000C0897"/>
    <w:rsid w:val="000C2B41"/>
    <w:rsid w:val="000D2A59"/>
    <w:rsid w:val="000D3DD1"/>
    <w:rsid w:val="000E0F0A"/>
    <w:rsid w:val="000F0790"/>
    <w:rsid w:val="000F43D8"/>
    <w:rsid w:val="001034A4"/>
    <w:rsid w:val="00103BE6"/>
    <w:rsid w:val="001053AB"/>
    <w:rsid w:val="001054E5"/>
    <w:rsid w:val="00106CB6"/>
    <w:rsid w:val="00110F0A"/>
    <w:rsid w:val="00116C83"/>
    <w:rsid w:val="0013388A"/>
    <w:rsid w:val="00134455"/>
    <w:rsid w:val="00134ED3"/>
    <w:rsid w:val="00151960"/>
    <w:rsid w:val="001544B8"/>
    <w:rsid w:val="00155AEE"/>
    <w:rsid w:val="0016560A"/>
    <w:rsid w:val="001839FA"/>
    <w:rsid w:val="00183D00"/>
    <w:rsid w:val="001862B3"/>
    <w:rsid w:val="001875D2"/>
    <w:rsid w:val="001958E9"/>
    <w:rsid w:val="001A1729"/>
    <w:rsid w:val="001A2B28"/>
    <w:rsid w:val="001A53A3"/>
    <w:rsid w:val="001A6F25"/>
    <w:rsid w:val="001A7399"/>
    <w:rsid w:val="001B051C"/>
    <w:rsid w:val="001C0F9D"/>
    <w:rsid w:val="001C1CC6"/>
    <w:rsid w:val="001C37E2"/>
    <w:rsid w:val="001C48AF"/>
    <w:rsid w:val="001D61BA"/>
    <w:rsid w:val="001D61D3"/>
    <w:rsid w:val="001E0BAF"/>
    <w:rsid w:val="001E1CBF"/>
    <w:rsid w:val="001E4648"/>
    <w:rsid w:val="001E7557"/>
    <w:rsid w:val="001F59B2"/>
    <w:rsid w:val="002057CD"/>
    <w:rsid w:val="0020657E"/>
    <w:rsid w:val="00210F5D"/>
    <w:rsid w:val="0021389C"/>
    <w:rsid w:val="002163EC"/>
    <w:rsid w:val="00220E0A"/>
    <w:rsid w:val="002222FD"/>
    <w:rsid w:val="00224BF3"/>
    <w:rsid w:val="0022515D"/>
    <w:rsid w:val="002332F5"/>
    <w:rsid w:val="00242B85"/>
    <w:rsid w:val="00250689"/>
    <w:rsid w:val="00260B2E"/>
    <w:rsid w:val="00266583"/>
    <w:rsid w:val="002718EA"/>
    <w:rsid w:val="00275FD8"/>
    <w:rsid w:val="00277D18"/>
    <w:rsid w:val="00286AF4"/>
    <w:rsid w:val="00296CC7"/>
    <w:rsid w:val="002A00F5"/>
    <w:rsid w:val="002A5D07"/>
    <w:rsid w:val="002A7E68"/>
    <w:rsid w:val="002B3D49"/>
    <w:rsid w:val="002B7914"/>
    <w:rsid w:val="002C0F23"/>
    <w:rsid w:val="002C4E56"/>
    <w:rsid w:val="002C6CCC"/>
    <w:rsid w:val="002D2954"/>
    <w:rsid w:val="002D3EE3"/>
    <w:rsid w:val="002D506C"/>
    <w:rsid w:val="002D744F"/>
    <w:rsid w:val="002E11EC"/>
    <w:rsid w:val="002EE1C7"/>
    <w:rsid w:val="002F2226"/>
    <w:rsid w:val="002F297B"/>
    <w:rsid w:val="002F5EC9"/>
    <w:rsid w:val="003002E2"/>
    <w:rsid w:val="0030150A"/>
    <w:rsid w:val="00313EF0"/>
    <w:rsid w:val="00316BAB"/>
    <w:rsid w:val="0032630C"/>
    <w:rsid w:val="00331D60"/>
    <w:rsid w:val="00332943"/>
    <w:rsid w:val="00332E5D"/>
    <w:rsid w:val="0033428D"/>
    <w:rsid w:val="00337267"/>
    <w:rsid w:val="003453FD"/>
    <w:rsid w:val="003534D2"/>
    <w:rsid w:val="003537D5"/>
    <w:rsid w:val="00362BA1"/>
    <w:rsid w:val="00363D2B"/>
    <w:rsid w:val="00364342"/>
    <w:rsid w:val="00366B8E"/>
    <w:rsid w:val="0037333D"/>
    <w:rsid w:val="00377170"/>
    <w:rsid w:val="00380BA3"/>
    <w:rsid w:val="0038475C"/>
    <w:rsid w:val="00387F6F"/>
    <w:rsid w:val="00393A1D"/>
    <w:rsid w:val="0039629E"/>
    <w:rsid w:val="003A219F"/>
    <w:rsid w:val="003A3E55"/>
    <w:rsid w:val="003A4178"/>
    <w:rsid w:val="003A7F3E"/>
    <w:rsid w:val="003B4D78"/>
    <w:rsid w:val="003B694C"/>
    <w:rsid w:val="003C1FAB"/>
    <w:rsid w:val="003C2C77"/>
    <w:rsid w:val="003C49BA"/>
    <w:rsid w:val="003C58CA"/>
    <w:rsid w:val="003C5FCE"/>
    <w:rsid w:val="003C6819"/>
    <w:rsid w:val="003D1DD0"/>
    <w:rsid w:val="003D26CF"/>
    <w:rsid w:val="003D7999"/>
    <w:rsid w:val="003E7DE0"/>
    <w:rsid w:val="003F0D51"/>
    <w:rsid w:val="003F1762"/>
    <w:rsid w:val="003F2F7C"/>
    <w:rsid w:val="00401149"/>
    <w:rsid w:val="00402013"/>
    <w:rsid w:val="0040744D"/>
    <w:rsid w:val="00410E65"/>
    <w:rsid w:val="00420D20"/>
    <w:rsid w:val="0042217D"/>
    <w:rsid w:val="00425ED8"/>
    <w:rsid w:val="004307EB"/>
    <w:rsid w:val="00431B50"/>
    <w:rsid w:val="00433B9A"/>
    <w:rsid w:val="00444128"/>
    <w:rsid w:val="00444D9B"/>
    <w:rsid w:val="00452961"/>
    <w:rsid w:val="00453AE3"/>
    <w:rsid w:val="00465D77"/>
    <w:rsid w:val="0047129E"/>
    <w:rsid w:val="00471A89"/>
    <w:rsid w:val="00475C20"/>
    <w:rsid w:val="00476D5C"/>
    <w:rsid w:val="004830B1"/>
    <w:rsid w:val="0048368C"/>
    <w:rsid w:val="0049510F"/>
    <w:rsid w:val="004A0345"/>
    <w:rsid w:val="004A0C35"/>
    <w:rsid w:val="004A2D09"/>
    <w:rsid w:val="004A62AE"/>
    <w:rsid w:val="004A6C54"/>
    <w:rsid w:val="004C10E0"/>
    <w:rsid w:val="004C4E3B"/>
    <w:rsid w:val="004C6A4B"/>
    <w:rsid w:val="004D3279"/>
    <w:rsid w:val="004D59AF"/>
    <w:rsid w:val="004D667C"/>
    <w:rsid w:val="004E2B4B"/>
    <w:rsid w:val="004E450E"/>
    <w:rsid w:val="004E49B8"/>
    <w:rsid w:val="004F3E14"/>
    <w:rsid w:val="004F58BA"/>
    <w:rsid w:val="0050404F"/>
    <w:rsid w:val="00505FDF"/>
    <w:rsid w:val="0051271D"/>
    <w:rsid w:val="005179FB"/>
    <w:rsid w:val="00520227"/>
    <w:rsid w:val="005215F7"/>
    <w:rsid w:val="0052314A"/>
    <w:rsid w:val="005330FA"/>
    <w:rsid w:val="00536DA6"/>
    <w:rsid w:val="00544AD2"/>
    <w:rsid w:val="00553E7D"/>
    <w:rsid w:val="00566E0D"/>
    <w:rsid w:val="005716E7"/>
    <w:rsid w:val="005732F8"/>
    <w:rsid w:val="00573362"/>
    <w:rsid w:val="005738E4"/>
    <w:rsid w:val="005747AF"/>
    <w:rsid w:val="00575F8B"/>
    <w:rsid w:val="005805C5"/>
    <w:rsid w:val="005816E8"/>
    <w:rsid w:val="00581D31"/>
    <w:rsid w:val="00583AD6"/>
    <w:rsid w:val="00585BF2"/>
    <w:rsid w:val="00593163"/>
    <w:rsid w:val="00595F08"/>
    <w:rsid w:val="005A708F"/>
    <w:rsid w:val="005B2120"/>
    <w:rsid w:val="005B4D00"/>
    <w:rsid w:val="005C1363"/>
    <w:rsid w:val="005C6838"/>
    <w:rsid w:val="005D0C70"/>
    <w:rsid w:val="005E4306"/>
    <w:rsid w:val="005E52B2"/>
    <w:rsid w:val="005F0407"/>
    <w:rsid w:val="005F45F7"/>
    <w:rsid w:val="005F6E31"/>
    <w:rsid w:val="0060504F"/>
    <w:rsid w:val="006064CA"/>
    <w:rsid w:val="00607D19"/>
    <w:rsid w:val="00613FB9"/>
    <w:rsid w:val="006242F7"/>
    <w:rsid w:val="006264BC"/>
    <w:rsid w:val="00635A20"/>
    <w:rsid w:val="00635D84"/>
    <w:rsid w:val="00644EFE"/>
    <w:rsid w:val="006537D3"/>
    <w:rsid w:val="006566B1"/>
    <w:rsid w:val="0066175B"/>
    <w:rsid w:val="006619E0"/>
    <w:rsid w:val="00662B79"/>
    <w:rsid w:val="00664AA8"/>
    <w:rsid w:val="00667378"/>
    <w:rsid w:val="0068011C"/>
    <w:rsid w:val="0068527F"/>
    <w:rsid w:val="00690376"/>
    <w:rsid w:val="00696D22"/>
    <w:rsid w:val="00697096"/>
    <w:rsid w:val="006A2C73"/>
    <w:rsid w:val="006B34D2"/>
    <w:rsid w:val="006C17A0"/>
    <w:rsid w:val="006C2069"/>
    <w:rsid w:val="006C6F80"/>
    <w:rsid w:val="006C7B3E"/>
    <w:rsid w:val="006D33A4"/>
    <w:rsid w:val="006D395A"/>
    <w:rsid w:val="006E2E16"/>
    <w:rsid w:val="006E356E"/>
    <w:rsid w:val="006E3843"/>
    <w:rsid w:val="006F3F2B"/>
    <w:rsid w:val="006F4026"/>
    <w:rsid w:val="006F7C09"/>
    <w:rsid w:val="007021C2"/>
    <w:rsid w:val="0070287A"/>
    <w:rsid w:val="00705EC7"/>
    <w:rsid w:val="00707212"/>
    <w:rsid w:val="00713EDD"/>
    <w:rsid w:val="00714D15"/>
    <w:rsid w:val="00714FD0"/>
    <w:rsid w:val="00716456"/>
    <w:rsid w:val="0071737D"/>
    <w:rsid w:val="00722A9E"/>
    <w:rsid w:val="00724886"/>
    <w:rsid w:val="00727FBE"/>
    <w:rsid w:val="00730567"/>
    <w:rsid w:val="007345DE"/>
    <w:rsid w:val="00735081"/>
    <w:rsid w:val="00735953"/>
    <w:rsid w:val="00742038"/>
    <w:rsid w:val="00753C4D"/>
    <w:rsid w:val="0075434A"/>
    <w:rsid w:val="0075723C"/>
    <w:rsid w:val="0076106A"/>
    <w:rsid w:val="007721C5"/>
    <w:rsid w:val="0077781B"/>
    <w:rsid w:val="0079162E"/>
    <w:rsid w:val="00793E2E"/>
    <w:rsid w:val="00797375"/>
    <w:rsid w:val="007A20D0"/>
    <w:rsid w:val="007A2F7A"/>
    <w:rsid w:val="007B01A0"/>
    <w:rsid w:val="007B04AA"/>
    <w:rsid w:val="007B246C"/>
    <w:rsid w:val="007B34E7"/>
    <w:rsid w:val="007C255B"/>
    <w:rsid w:val="007C4161"/>
    <w:rsid w:val="007C7A25"/>
    <w:rsid w:val="007D10BF"/>
    <w:rsid w:val="007D26B5"/>
    <w:rsid w:val="007D7FF3"/>
    <w:rsid w:val="007E703C"/>
    <w:rsid w:val="007E7F9E"/>
    <w:rsid w:val="007F04E9"/>
    <w:rsid w:val="007F10E3"/>
    <w:rsid w:val="007F1272"/>
    <w:rsid w:val="0080146B"/>
    <w:rsid w:val="00802A0A"/>
    <w:rsid w:val="008040E2"/>
    <w:rsid w:val="008136DD"/>
    <w:rsid w:val="00824BA4"/>
    <w:rsid w:val="008260D7"/>
    <w:rsid w:val="00826CBF"/>
    <w:rsid w:val="00830C88"/>
    <w:rsid w:val="00834BF6"/>
    <w:rsid w:val="00843357"/>
    <w:rsid w:val="00843CE2"/>
    <w:rsid w:val="00852379"/>
    <w:rsid w:val="00853FC7"/>
    <w:rsid w:val="00857CE6"/>
    <w:rsid w:val="00863D2A"/>
    <w:rsid w:val="008675EA"/>
    <w:rsid w:val="00871541"/>
    <w:rsid w:val="00877822"/>
    <w:rsid w:val="00884F21"/>
    <w:rsid w:val="00890D64"/>
    <w:rsid w:val="008958C8"/>
    <w:rsid w:val="008A1107"/>
    <w:rsid w:val="008A1B98"/>
    <w:rsid w:val="008A298A"/>
    <w:rsid w:val="008A6C26"/>
    <w:rsid w:val="008B1013"/>
    <w:rsid w:val="008C0465"/>
    <w:rsid w:val="008C2A07"/>
    <w:rsid w:val="008D0D0B"/>
    <w:rsid w:val="008D21FB"/>
    <w:rsid w:val="008D6F56"/>
    <w:rsid w:val="008D7108"/>
    <w:rsid w:val="008F2832"/>
    <w:rsid w:val="008F2D14"/>
    <w:rsid w:val="008F3792"/>
    <w:rsid w:val="0090050C"/>
    <w:rsid w:val="00903FD5"/>
    <w:rsid w:val="0090568A"/>
    <w:rsid w:val="009127D8"/>
    <w:rsid w:val="00912DFD"/>
    <w:rsid w:val="00914A95"/>
    <w:rsid w:val="00923D66"/>
    <w:rsid w:val="00924EB0"/>
    <w:rsid w:val="0093196A"/>
    <w:rsid w:val="00941676"/>
    <w:rsid w:val="00941CB9"/>
    <w:rsid w:val="009451EA"/>
    <w:rsid w:val="00946A37"/>
    <w:rsid w:val="00953FC1"/>
    <w:rsid w:val="009629F2"/>
    <w:rsid w:val="00965CF7"/>
    <w:rsid w:val="00967400"/>
    <w:rsid w:val="0097386C"/>
    <w:rsid w:val="00973A0E"/>
    <w:rsid w:val="00991239"/>
    <w:rsid w:val="00991768"/>
    <w:rsid w:val="009939C0"/>
    <w:rsid w:val="00996D95"/>
    <w:rsid w:val="00996EDF"/>
    <w:rsid w:val="0099750B"/>
    <w:rsid w:val="009A3A80"/>
    <w:rsid w:val="009A5103"/>
    <w:rsid w:val="009A75E4"/>
    <w:rsid w:val="009B6F9E"/>
    <w:rsid w:val="009D0C21"/>
    <w:rsid w:val="009D58A4"/>
    <w:rsid w:val="009E2613"/>
    <w:rsid w:val="009E7116"/>
    <w:rsid w:val="009F3053"/>
    <w:rsid w:val="00A04304"/>
    <w:rsid w:val="00A045F3"/>
    <w:rsid w:val="00A14017"/>
    <w:rsid w:val="00A16364"/>
    <w:rsid w:val="00A16F11"/>
    <w:rsid w:val="00A2334D"/>
    <w:rsid w:val="00A26DAE"/>
    <w:rsid w:val="00A347D9"/>
    <w:rsid w:val="00A355EA"/>
    <w:rsid w:val="00A4289F"/>
    <w:rsid w:val="00A43D4D"/>
    <w:rsid w:val="00A44F82"/>
    <w:rsid w:val="00A63171"/>
    <w:rsid w:val="00A70D4D"/>
    <w:rsid w:val="00A77E59"/>
    <w:rsid w:val="00A821BE"/>
    <w:rsid w:val="00A84CBE"/>
    <w:rsid w:val="00A8D94F"/>
    <w:rsid w:val="00AA3B71"/>
    <w:rsid w:val="00AA497A"/>
    <w:rsid w:val="00AA5E4D"/>
    <w:rsid w:val="00AB15DC"/>
    <w:rsid w:val="00AC0CBE"/>
    <w:rsid w:val="00AC0E9F"/>
    <w:rsid w:val="00AC28CD"/>
    <w:rsid w:val="00AC393A"/>
    <w:rsid w:val="00AD195A"/>
    <w:rsid w:val="00AD6C34"/>
    <w:rsid w:val="00AD7792"/>
    <w:rsid w:val="00AE0164"/>
    <w:rsid w:val="00AE3482"/>
    <w:rsid w:val="00AF748B"/>
    <w:rsid w:val="00B0082B"/>
    <w:rsid w:val="00B01BF8"/>
    <w:rsid w:val="00B056BB"/>
    <w:rsid w:val="00B11F52"/>
    <w:rsid w:val="00B21189"/>
    <w:rsid w:val="00B3236C"/>
    <w:rsid w:val="00B36219"/>
    <w:rsid w:val="00B3680C"/>
    <w:rsid w:val="00B42A6E"/>
    <w:rsid w:val="00B42D78"/>
    <w:rsid w:val="00B47487"/>
    <w:rsid w:val="00B5500F"/>
    <w:rsid w:val="00B61D52"/>
    <w:rsid w:val="00B61DE0"/>
    <w:rsid w:val="00B72DE5"/>
    <w:rsid w:val="00B749C7"/>
    <w:rsid w:val="00B8044E"/>
    <w:rsid w:val="00B83166"/>
    <w:rsid w:val="00B839A2"/>
    <w:rsid w:val="00B83F40"/>
    <w:rsid w:val="00B86933"/>
    <w:rsid w:val="00B94D03"/>
    <w:rsid w:val="00BA0CAF"/>
    <w:rsid w:val="00BA1FB4"/>
    <w:rsid w:val="00BA66ED"/>
    <w:rsid w:val="00BB0F1F"/>
    <w:rsid w:val="00BB3ABB"/>
    <w:rsid w:val="00BB7502"/>
    <w:rsid w:val="00BC2FC5"/>
    <w:rsid w:val="00BC34DC"/>
    <w:rsid w:val="00BC6C4D"/>
    <w:rsid w:val="00BD217E"/>
    <w:rsid w:val="00BE02AC"/>
    <w:rsid w:val="00BE0CFD"/>
    <w:rsid w:val="00BE1279"/>
    <w:rsid w:val="00BE39C5"/>
    <w:rsid w:val="00BE6CB8"/>
    <w:rsid w:val="00BE7785"/>
    <w:rsid w:val="00BF3A5C"/>
    <w:rsid w:val="00BF4DD7"/>
    <w:rsid w:val="00BF780C"/>
    <w:rsid w:val="00C00B94"/>
    <w:rsid w:val="00C123E7"/>
    <w:rsid w:val="00C1651F"/>
    <w:rsid w:val="00C20676"/>
    <w:rsid w:val="00C21B06"/>
    <w:rsid w:val="00C21E77"/>
    <w:rsid w:val="00C30B8A"/>
    <w:rsid w:val="00C36F83"/>
    <w:rsid w:val="00C37622"/>
    <w:rsid w:val="00C57AFE"/>
    <w:rsid w:val="00C7285A"/>
    <w:rsid w:val="00C84CEA"/>
    <w:rsid w:val="00C93361"/>
    <w:rsid w:val="00C94D60"/>
    <w:rsid w:val="00C96E1C"/>
    <w:rsid w:val="00C9750D"/>
    <w:rsid w:val="00C99166"/>
    <w:rsid w:val="00CA2549"/>
    <w:rsid w:val="00CA34C2"/>
    <w:rsid w:val="00CA3999"/>
    <w:rsid w:val="00CA7CA9"/>
    <w:rsid w:val="00CB1998"/>
    <w:rsid w:val="00CB214C"/>
    <w:rsid w:val="00CB45E1"/>
    <w:rsid w:val="00CB522C"/>
    <w:rsid w:val="00CB5C58"/>
    <w:rsid w:val="00CC29B0"/>
    <w:rsid w:val="00CE12D4"/>
    <w:rsid w:val="00CE165C"/>
    <w:rsid w:val="00CE3066"/>
    <w:rsid w:val="00CE7467"/>
    <w:rsid w:val="00CF1126"/>
    <w:rsid w:val="00CF3729"/>
    <w:rsid w:val="00D00FD3"/>
    <w:rsid w:val="00D04F5F"/>
    <w:rsid w:val="00D156B8"/>
    <w:rsid w:val="00D265C2"/>
    <w:rsid w:val="00D266F1"/>
    <w:rsid w:val="00D27AFC"/>
    <w:rsid w:val="00D30AD0"/>
    <w:rsid w:val="00D34D12"/>
    <w:rsid w:val="00D41726"/>
    <w:rsid w:val="00D528F0"/>
    <w:rsid w:val="00D54DCF"/>
    <w:rsid w:val="00D555D1"/>
    <w:rsid w:val="00D61E11"/>
    <w:rsid w:val="00D65469"/>
    <w:rsid w:val="00D67E46"/>
    <w:rsid w:val="00D860D8"/>
    <w:rsid w:val="00D8620D"/>
    <w:rsid w:val="00D87815"/>
    <w:rsid w:val="00D92283"/>
    <w:rsid w:val="00D95B99"/>
    <w:rsid w:val="00DA0489"/>
    <w:rsid w:val="00DA1935"/>
    <w:rsid w:val="00DA374A"/>
    <w:rsid w:val="00DA478F"/>
    <w:rsid w:val="00DA4F6D"/>
    <w:rsid w:val="00DA5EA7"/>
    <w:rsid w:val="00DD7557"/>
    <w:rsid w:val="00DE61C8"/>
    <w:rsid w:val="00DF005B"/>
    <w:rsid w:val="00DF26DC"/>
    <w:rsid w:val="00E0360A"/>
    <w:rsid w:val="00E0778F"/>
    <w:rsid w:val="00E12D86"/>
    <w:rsid w:val="00E13B56"/>
    <w:rsid w:val="00E147D3"/>
    <w:rsid w:val="00E2183D"/>
    <w:rsid w:val="00E222CF"/>
    <w:rsid w:val="00E22DF1"/>
    <w:rsid w:val="00E24059"/>
    <w:rsid w:val="00E25242"/>
    <w:rsid w:val="00E26988"/>
    <w:rsid w:val="00E26EFD"/>
    <w:rsid w:val="00E271F9"/>
    <w:rsid w:val="00E276C4"/>
    <w:rsid w:val="00E30BA3"/>
    <w:rsid w:val="00E35C97"/>
    <w:rsid w:val="00E366D3"/>
    <w:rsid w:val="00E370BD"/>
    <w:rsid w:val="00E43D87"/>
    <w:rsid w:val="00E447B7"/>
    <w:rsid w:val="00E463BC"/>
    <w:rsid w:val="00E47E09"/>
    <w:rsid w:val="00E5088D"/>
    <w:rsid w:val="00E50EBF"/>
    <w:rsid w:val="00E51B19"/>
    <w:rsid w:val="00E52DE5"/>
    <w:rsid w:val="00E53C20"/>
    <w:rsid w:val="00E56EDE"/>
    <w:rsid w:val="00E579B0"/>
    <w:rsid w:val="00E63C27"/>
    <w:rsid w:val="00E72DF8"/>
    <w:rsid w:val="00E74099"/>
    <w:rsid w:val="00E804C0"/>
    <w:rsid w:val="00E80E44"/>
    <w:rsid w:val="00E81180"/>
    <w:rsid w:val="00E827DC"/>
    <w:rsid w:val="00E82DA3"/>
    <w:rsid w:val="00E8409B"/>
    <w:rsid w:val="00E84A43"/>
    <w:rsid w:val="00E85A6C"/>
    <w:rsid w:val="00E87BF2"/>
    <w:rsid w:val="00E9434D"/>
    <w:rsid w:val="00E97463"/>
    <w:rsid w:val="00EA12B7"/>
    <w:rsid w:val="00EA4D6A"/>
    <w:rsid w:val="00EB3E39"/>
    <w:rsid w:val="00EB53BA"/>
    <w:rsid w:val="00EC2A90"/>
    <w:rsid w:val="00EC7AEB"/>
    <w:rsid w:val="00ED1507"/>
    <w:rsid w:val="00ED1D52"/>
    <w:rsid w:val="00ED3CED"/>
    <w:rsid w:val="00EE20DC"/>
    <w:rsid w:val="00EE2487"/>
    <w:rsid w:val="00EF2D8F"/>
    <w:rsid w:val="00F029D3"/>
    <w:rsid w:val="00F06DDA"/>
    <w:rsid w:val="00F10738"/>
    <w:rsid w:val="00F16D09"/>
    <w:rsid w:val="00F20343"/>
    <w:rsid w:val="00F22364"/>
    <w:rsid w:val="00F34767"/>
    <w:rsid w:val="00F35B94"/>
    <w:rsid w:val="00F375C4"/>
    <w:rsid w:val="00F44008"/>
    <w:rsid w:val="00F44C2F"/>
    <w:rsid w:val="00F55A32"/>
    <w:rsid w:val="00F57DA9"/>
    <w:rsid w:val="00F61F1B"/>
    <w:rsid w:val="00F63729"/>
    <w:rsid w:val="00F701BC"/>
    <w:rsid w:val="00F7106B"/>
    <w:rsid w:val="00F7231A"/>
    <w:rsid w:val="00F731F0"/>
    <w:rsid w:val="00F7462A"/>
    <w:rsid w:val="00F746A1"/>
    <w:rsid w:val="00F75470"/>
    <w:rsid w:val="00F76AFD"/>
    <w:rsid w:val="00F77258"/>
    <w:rsid w:val="00F862D4"/>
    <w:rsid w:val="00F87BB0"/>
    <w:rsid w:val="00F928C6"/>
    <w:rsid w:val="00F9696C"/>
    <w:rsid w:val="00FA39CC"/>
    <w:rsid w:val="00FA801C"/>
    <w:rsid w:val="00FB2856"/>
    <w:rsid w:val="00FC3AF7"/>
    <w:rsid w:val="00FD25FE"/>
    <w:rsid w:val="00FD78C7"/>
    <w:rsid w:val="00FF731D"/>
    <w:rsid w:val="013399B8"/>
    <w:rsid w:val="01DE2BD8"/>
    <w:rsid w:val="02B0D8E8"/>
    <w:rsid w:val="040D93D7"/>
    <w:rsid w:val="04BCFD29"/>
    <w:rsid w:val="05310E85"/>
    <w:rsid w:val="05D4FFFA"/>
    <w:rsid w:val="067D5B19"/>
    <w:rsid w:val="06C64094"/>
    <w:rsid w:val="088C2AD9"/>
    <w:rsid w:val="089A586F"/>
    <w:rsid w:val="089C3FE2"/>
    <w:rsid w:val="08C6D0D2"/>
    <w:rsid w:val="09463B0C"/>
    <w:rsid w:val="0A9C76CE"/>
    <w:rsid w:val="0B1D66B3"/>
    <w:rsid w:val="0BC3D087"/>
    <w:rsid w:val="0C639946"/>
    <w:rsid w:val="0C82C546"/>
    <w:rsid w:val="0D0DBEC2"/>
    <w:rsid w:val="0D22F718"/>
    <w:rsid w:val="0D43532B"/>
    <w:rsid w:val="0EE425AE"/>
    <w:rsid w:val="0F652B8D"/>
    <w:rsid w:val="0FA3106B"/>
    <w:rsid w:val="0FA76976"/>
    <w:rsid w:val="0FE78FCB"/>
    <w:rsid w:val="0FEF1F76"/>
    <w:rsid w:val="101E86F7"/>
    <w:rsid w:val="104E621F"/>
    <w:rsid w:val="10CB2BA7"/>
    <w:rsid w:val="10FD77CA"/>
    <w:rsid w:val="1100FBEE"/>
    <w:rsid w:val="111F2FD3"/>
    <w:rsid w:val="11A12F0F"/>
    <w:rsid w:val="11BAB8B5"/>
    <w:rsid w:val="12142346"/>
    <w:rsid w:val="1245D98E"/>
    <w:rsid w:val="12814384"/>
    <w:rsid w:val="12DAE8B7"/>
    <w:rsid w:val="13133979"/>
    <w:rsid w:val="14A3D161"/>
    <w:rsid w:val="14BE57AA"/>
    <w:rsid w:val="1509FD69"/>
    <w:rsid w:val="154BEC12"/>
    <w:rsid w:val="15A181C4"/>
    <w:rsid w:val="15C384BC"/>
    <w:rsid w:val="16694191"/>
    <w:rsid w:val="168732DF"/>
    <w:rsid w:val="1689C31E"/>
    <w:rsid w:val="169E78B7"/>
    <w:rsid w:val="172E9A7D"/>
    <w:rsid w:val="178EE1AB"/>
    <w:rsid w:val="182E1A39"/>
    <w:rsid w:val="183A4918"/>
    <w:rsid w:val="186F232E"/>
    <w:rsid w:val="1873DE9B"/>
    <w:rsid w:val="18B853F2"/>
    <w:rsid w:val="18BA5132"/>
    <w:rsid w:val="18DEA014"/>
    <w:rsid w:val="190E1F7B"/>
    <w:rsid w:val="19B14167"/>
    <w:rsid w:val="1A1C360A"/>
    <w:rsid w:val="1A562193"/>
    <w:rsid w:val="1AB79B59"/>
    <w:rsid w:val="1B1258DC"/>
    <w:rsid w:val="1B22660C"/>
    <w:rsid w:val="1BF1F1F4"/>
    <w:rsid w:val="1C5C9057"/>
    <w:rsid w:val="1D8A506F"/>
    <w:rsid w:val="1E024DF7"/>
    <w:rsid w:val="1E94D503"/>
    <w:rsid w:val="1F180C12"/>
    <w:rsid w:val="1F3EBCB6"/>
    <w:rsid w:val="1F69F21D"/>
    <w:rsid w:val="1F6B8797"/>
    <w:rsid w:val="1FF1353F"/>
    <w:rsid w:val="2002C364"/>
    <w:rsid w:val="20373979"/>
    <w:rsid w:val="20A13033"/>
    <w:rsid w:val="21382DE3"/>
    <w:rsid w:val="214BC3F5"/>
    <w:rsid w:val="21DFFC6E"/>
    <w:rsid w:val="2248C251"/>
    <w:rsid w:val="2304E0D2"/>
    <w:rsid w:val="234F1DC9"/>
    <w:rsid w:val="236799AF"/>
    <w:rsid w:val="2368DF5A"/>
    <w:rsid w:val="23D608E6"/>
    <w:rsid w:val="242A01B4"/>
    <w:rsid w:val="24EAEE2A"/>
    <w:rsid w:val="250FB656"/>
    <w:rsid w:val="250FEFDB"/>
    <w:rsid w:val="26023B3A"/>
    <w:rsid w:val="2686BE8B"/>
    <w:rsid w:val="26F7BC9C"/>
    <w:rsid w:val="27010CF0"/>
    <w:rsid w:val="2705F47B"/>
    <w:rsid w:val="27902AE0"/>
    <w:rsid w:val="28AA37BD"/>
    <w:rsid w:val="295BF720"/>
    <w:rsid w:val="2A7F12D3"/>
    <w:rsid w:val="2BDA948E"/>
    <w:rsid w:val="2C4CFE49"/>
    <w:rsid w:val="2C88DBD8"/>
    <w:rsid w:val="2C8B2B5E"/>
    <w:rsid w:val="2D499371"/>
    <w:rsid w:val="2D8E0D5F"/>
    <w:rsid w:val="2DD4E9D5"/>
    <w:rsid w:val="2EBF5BE3"/>
    <w:rsid w:val="2F425FF0"/>
    <w:rsid w:val="2F4C3190"/>
    <w:rsid w:val="2F87E5AD"/>
    <w:rsid w:val="30060816"/>
    <w:rsid w:val="30706DCC"/>
    <w:rsid w:val="30CEB9A8"/>
    <w:rsid w:val="31B245ED"/>
    <w:rsid w:val="31F0CB6A"/>
    <w:rsid w:val="3228EB92"/>
    <w:rsid w:val="33A4F34E"/>
    <w:rsid w:val="33E60E7C"/>
    <w:rsid w:val="34B06F9B"/>
    <w:rsid w:val="3508FF7A"/>
    <w:rsid w:val="3519D5AA"/>
    <w:rsid w:val="351DB513"/>
    <w:rsid w:val="3553C537"/>
    <w:rsid w:val="35F4D4E7"/>
    <w:rsid w:val="362197B7"/>
    <w:rsid w:val="3647935E"/>
    <w:rsid w:val="36F538AF"/>
    <w:rsid w:val="37B66EA4"/>
    <w:rsid w:val="38758CFE"/>
    <w:rsid w:val="38C09F7A"/>
    <w:rsid w:val="390E8929"/>
    <w:rsid w:val="391CB095"/>
    <w:rsid w:val="396A1C6C"/>
    <w:rsid w:val="39744917"/>
    <w:rsid w:val="3975DA01"/>
    <w:rsid w:val="3A54268A"/>
    <w:rsid w:val="3A6832F9"/>
    <w:rsid w:val="3A6AFE25"/>
    <w:rsid w:val="3C90D93B"/>
    <w:rsid w:val="3C9F824D"/>
    <w:rsid w:val="3E17D51A"/>
    <w:rsid w:val="3E266C96"/>
    <w:rsid w:val="3E554160"/>
    <w:rsid w:val="3E791C05"/>
    <w:rsid w:val="3E9E9D28"/>
    <w:rsid w:val="3EA69841"/>
    <w:rsid w:val="3F1BA3DA"/>
    <w:rsid w:val="3F3C52AD"/>
    <w:rsid w:val="3F56AD59"/>
    <w:rsid w:val="408A1F07"/>
    <w:rsid w:val="409F8E6D"/>
    <w:rsid w:val="40A15436"/>
    <w:rsid w:val="4144C05E"/>
    <w:rsid w:val="415507C5"/>
    <w:rsid w:val="416B5B47"/>
    <w:rsid w:val="41817005"/>
    <w:rsid w:val="41946986"/>
    <w:rsid w:val="41A94336"/>
    <w:rsid w:val="422F3805"/>
    <w:rsid w:val="42397C96"/>
    <w:rsid w:val="424E5963"/>
    <w:rsid w:val="42C6C73B"/>
    <w:rsid w:val="42F0D826"/>
    <w:rsid w:val="44201104"/>
    <w:rsid w:val="4446AEBA"/>
    <w:rsid w:val="45379FD3"/>
    <w:rsid w:val="45FDF117"/>
    <w:rsid w:val="46063510"/>
    <w:rsid w:val="468A9C24"/>
    <w:rsid w:val="475B4BC7"/>
    <w:rsid w:val="47A5690B"/>
    <w:rsid w:val="48DA4F3C"/>
    <w:rsid w:val="49A78A67"/>
    <w:rsid w:val="49C23CE6"/>
    <w:rsid w:val="4AB8D274"/>
    <w:rsid w:val="4AC42B23"/>
    <w:rsid w:val="4B010F82"/>
    <w:rsid w:val="4C3E9364"/>
    <w:rsid w:val="4D69E6E4"/>
    <w:rsid w:val="4D80370E"/>
    <w:rsid w:val="4D81979B"/>
    <w:rsid w:val="4D8DD289"/>
    <w:rsid w:val="4DB1FDC9"/>
    <w:rsid w:val="4E399E6F"/>
    <w:rsid w:val="4E95A315"/>
    <w:rsid w:val="4F337C5D"/>
    <w:rsid w:val="4F95B577"/>
    <w:rsid w:val="4FBEB0B5"/>
    <w:rsid w:val="508B0A63"/>
    <w:rsid w:val="50EC9DEA"/>
    <w:rsid w:val="5174FA46"/>
    <w:rsid w:val="520AB4AA"/>
    <w:rsid w:val="52B817A4"/>
    <w:rsid w:val="52E73D64"/>
    <w:rsid w:val="532DF2D1"/>
    <w:rsid w:val="53BBA4C4"/>
    <w:rsid w:val="5401AFC3"/>
    <w:rsid w:val="543F1552"/>
    <w:rsid w:val="5515FE7A"/>
    <w:rsid w:val="5601529E"/>
    <w:rsid w:val="56326C36"/>
    <w:rsid w:val="56A9595F"/>
    <w:rsid w:val="56D7B639"/>
    <w:rsid w:val="5734D6EB"/>
    <w:rsid w:val="5738DDD7"/>
    <w:rsid w:val="580AEB76"/>
    <w:rsid w:val="596DEDA5"/>
    <w:rsid w:val="5999E7EB"/>
    <w:rsid w:val="59EEDE27"/>
    <w:rsid w:val="5A3910E8"/>
    <w:rsid w:val="5A78F411"/>
    <w:rsid w:val="5B13F4BA"/>
    <w:rsid w:val="5BB52597"/>
    <w:rsid w:val="5BB71492"/>
    <w:rsid w:val="5C5A204B"/>
    <w:rsid w:val="5CF92E32"/>
    <w:rsid w:val="5DFAD6E7"/>
    <w:rsid w:val="5E977CD7"/>
    <w:rsid w:val="5F0691A1"/>
    <w:rsid w:val="5F995118"/>
    <w:rsid w:val="602C6F0A"/>
    <w:rsid w:val="603DD50C"/>
    <w:rsid w:val="609DFF55"/>
    <w:rsid w:val="612967CD"/>
    <w:rsid w:val="614989C1"/>
    <w:rsid w:val="6179F1F8"/>
    <w:rsid w:val="61A55AD8"/>
    <w:rsid w:val="61A566FB"/>
    <w:rsid w:val="62A2B8B6"/>
    <w:rsid w:val="62C1EC94"/>
    <w:rsid w:val="62E41998"/>
    <w:rsid w:val="62FED807"/>
    <w:rsid w:val="6392D731"/>
    <w:rsid w:val="63A499D0"/>
    <w:rsid w:val="6406EFBC"/>
    <w:rsid w:val="64806FDB"/>
    <w:rsid w:val="64B8DA33"/>
    <w:rsid w:val="653B1A0F"/>
    <w:rsid w:val="65505710"/>
    <w:rsid w:val="6598B028"/>
    <w:rsid w:val="65A1E257"/>
    <w:rsid w:val="65B62C0C"/>
    <w:rsid w:val="65F98D56"/>
    <w:rsid w:val="66819C59"/>
    <w:rsid w:val="674E9675"/>
    <w:rsid w:val="677B9644"/>
    <w:rsid w:val="6792D0D2"/>
    <w:rsid w:val="67E60073"/>
    <w:rsid w:val="68345247"/>
    <w:rsid w:val="69312E18"/>
    <w:rsid w:val="6987DCA3"/>
    <w:rsid w:val="6A120CCB"/>
    <w:rsid w:val="6A3CC9C7"/>
    <w:rsid w:val="6A4A041A"/>
    <w:rsid w:val="6A859D3F"/>
    <w:rsid w:val="6AA2C37E"/>
    <w:rsid w:val="6B1D42AD"/>
    <w:rsid w:val="6B5D5AD3"/>
    <w:rsid w:val="6CB33123"/>
    <w:rsid w:val="6D25531E"/>
    <w:rsid w:val="6D40D2C2"/>
    <w:rsid w:val="6E3D5C57"/>
    <w:rsid w:val="6E40718D"/>
    <w:rsid w:val="6E8A6915"/>
    <w:rsid w:val="6EECC76D"/>
    <w:rsid w:val="6F3004A3"/>
    <w:rsid w:val="6F537F6C"/>
    <w:rsid w:val="6F6588A9"/>
    <w:rsid w:val="6F70F98F"/>
    <w:rsid w:val="6FC3B204"/>
    <w:rsid w:val="7010EF03"/>
    <w:rsid w:val="7056E487"/>
    <w:rsid w:val="70E1C5CC"/>
    <w:rsid w:val="70E53760"/>
    <w:rsid w:val="7249C65E"/>
    <w:rsid w:val="724F2612"/>
    <w:rsid w:val="7367DEFC"/>
    <w:rsid w:val="73C0E26C"/>
    <w:rsid w:val="744AB0F3"/>
    <w:rsid w:val="7468EC77"/>
    <w:rsid w:val="74BEC2D9"/>
    <w:rsid w:val="7515D844"/>
    <w:rsid w:val="758D1D5A"/>
    <w:rsid w:val="75AB3869"/>
    <w:rsid w:val="75FBDDBB"/>
    <w:rsid w:val="760EABDF"/>
    <w:rsid w:val="764678D8"/>
    <w:rsid w:val="77171FAF"/>
    <w:rsid w:val="7879F816"/>
    <w:rsid w:val="787F8C76"/>
    <w:rsid w:val="78D51558"/>
    <w:rsid w:val="7930AD80"/>
    <w:rsid w:val="796DCC4B"/>
    <w:rsid w:val="79C8A2E1"/>
    <w:rsid w:val="7A5ED7EB"/>
    <w:rsid w:val="7A8A6F9A"/>
    <w:rsid w:val="7AEC9978"/>
    <w:rsid w:val="7B2D8A26"/>
    <w:rsid w:val="7B81D5AA"/>
    <w:rsid w:val="7B96A37A"/>
    <w:rsid w:val="7C18DA17"/>
    <w:rsid w:val="7D2108B1"/>
    <w:rsid w:val="7D4E08ED"/>
    <w:rsid w:val="7D4F8086"/>
    <w:rsid w:val="7D598D3A"/>
    <w:rsid w:val="7D6B2C2C"/>
    <w:rsid w:val="7DB633BA"/>
    <w:rsid w:val="7DCAAD23"/>
    <w:rsid w:val="7EBADBFF"/>
    <w:rsid w:val="7F24FABA"/>
    <w:rsid w:val="7F50836F"/>
    <w:rsid w:val="7F5B16BD"/>
    <w:rsid w:val="7F9D933F"/>
    <w:rsid w:val="7FF6C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04B50"/>
  <w15:chartTrackingRefBased/>
  <w15:docId w15:val="{67D9FD96-BF33-4DE1-BC9F-102BE77C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8260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6E1C"/>
    <w:rPr>
      <w:color w:val="0000FF"/>
      <w:u w:val="single"/>
    </w:rPr>
  </w:style>
  <w:style w:type="character" w:styleId="FollowedHyperlink">
    <w:name w:val="FollowedHyperlink"/>
    <w:uiPriority w:val="99"/>
    <w:semiHidden/>
    <w:unhideWhenUsed/>
    <w:rsid w:val="00C96E1C"/>
    <w:rPr>
      <w:color w:val="800080"/>
      <w:u w:val="single"/>
    </w:rPr>
  </w:style>
  <w:style w:type="paragraph" w:styleId="Header">
    <w:name w:val="header"/>
    <w:basedOn w:val="Normal"/>
    <w:link w:val="HeaderChar"/>
    <w:uiPriority w:val="99"/>
    <w:unhideWhenUsed/>
    <w:rsid w:val="00B5500F"/>
    <w:pPr>
      <w:tabs>
        <w:tab w:val="center" w:pos="4513"/>
        <w:tab w:val="right" w:pos="9026"/>
      </w:tabs>
    </w:pPr>
  </w:style>
  <w:style w:type="character" w:customStyle="1" w:styleId="HeaderChar">
    <w:name w:val="Header Char"/>
    <w:link w:val="Header"/>
    <w:uiPriority w:val="99"/>
    <w:rsid w:val="00B5500F"/>
    <w:rPr>
      <w:sz w:val="22"/>
      <w:szCs w:val="22"/>
      <w:lang w:eastAsia="en-US"/>
    </w:rPr>
  </w:style>
  <w:style w:type="paragraph" w:styleId="Footer">
    <w:name w:val="footer"/>
    <w:basedOn w:val="Normal"/>
    <w:link w:val="FooterChar"/>
    <w:uiPriority w:val="99"/>
    <w:unhideWhenUsed/>
    <w:rsid w:val="00B5500F"/>
    <w:pPr>
      <w:tabs>
        <w:tab w:val="center" w:pos="4513"/>
        <w:tab w:val="right" w:pos="9026"/>
      </w:tabs>
    </w:pPr>
  </w:style>
  <w:style w:type="character" w:customStyle="1" w:styleId="FooterChar">
    <w:name w:val="Footer Char"/>
    <w:link w:val="Footer"/>
    <w:uiPriority w:val="99"/>
    <w:rsid w:val="00B5500F"/>
    <w:rPr>
      <w:sz w:val="22"/>
      <w:szCs w:val="22"/>
      <w:lang w:eastAsia="en-US"/>
    </w:rPr>
  </w:style>
  <w:style w:type="paragraph" w:customStyle="1" w:styleId="Default">
    <w:name w:val="Default"/>
    <w:rsid w:val="00B5500F"/>
    <w:pPr>
      <w:autoSpaceDE w:val="0"/>
      <w:autoSpaceDN w:val="0"/>
      <w:adjustRightInd w:val="0"/>
    </w:pPr>
    <w:rPr>
      <w:rFonts w:ascii="Verdana" w:hAnsi="Verdana" w:cs="Verdana"/>
      <w:color w:val="000000"/>
      <w:sz w:val="24"/>
      <w:szCs w:val="24"/>
    </w:rPr>
  </w:style>
  <w:style w:type="paragraph" w:styleId="NoSpacing">
    <w:name w:val="No Spacing"/>
    <w:qFormat/>
    <w:rsid w:val="000A4208"/>
    <w:rPr>
      <w:sz w:val="22"/>
      <w:szCs w:val="22"/>
      <w:lang w:eastAsia="en-US"/>
    </w:rPr>
  </w:style>
  <w:style w:type="character" w:styleId="CommentReference">
    <w:name w:val="annotation reference"/>
    <w:uiPriority w:val="99"/>
    <w:semiHidden/>
    <w:unhideWhenUsed/>
    <w:rsid w:val="00CA34C2"/>
    <w:rPr>
      <w:sz w:val="16"/>
      <w:szCs w:val="16"/>
    </w:rPr>
  </w:style>
  <w:style w:type="paragraph" w:styleId="CommentText">
    <w:name w:val="annotation text"/>
    <w:basedOn w:val="Normal"/>
    <w:link w:val="CommentTextChar"/>
    <w:uiPriority w:val="99"/>
    <w:semiHidden/>
    <w:unhideWhenUsed/>
    <w:rsid w:val="00CA34C2"/>
    <w:rPr>
      <w:sz w:val="20"/>
      <w:szCs w:val="20"/>
    </w:rPr>
  </w:style>
  <w:style w:type="character" w:customStyle="1" w:styleId="CommentTextChar">
    <w:name w:val="Comment Text Char"/>
    <w:link w:val="CommentText"/>
    <w:uiPriority w:val="99"/>
    <w:semiHidden/>
    <w:rsid w:val="00CA34C2"/>
    <w:rPr>
      <w:lang w:eastAsia="en-US"/>
    </w:rPr>
  </w:style>
  <w:style w:type="paragraph" w:styleId="CommentSubject">
    <w:name w:val="annotation subject"/>
    <w:basedOn w:val="CommentText"/>
    <w:next w:val="CommentText"/>
    <w:link w:val="CommentSubjectChar"/>
    <w:uiPriority w:val="99"/>
    <w:semiHidden/>
    <w:unhideWhenUsed/>
    <w:rsid w:val="00CA34C2"/>
    <w:rPr>
      <w:b/>
      <w:bCs/>
    </w:rPr>
  </w:style>
  <w:style w:type="character" w:customStyle="1" w:styleId="CommentSubjectChar">
    <w:name w:val="Comment Subject Char"/>
    <w:link w:val="CommentSubject"/>
    <w:uiPriority w:val="99"/>
    <w:semiHidden/>
    <w:rsid w:val="00CA34C2"/>
    <w:rPr>
      <w:b/>
      <w:bCs/>
      <w:lang w:eastAsia="en-US"/>
    </w:rPr>
  </w:style>
  <w:style w:type="paragraph" w:styleId="BalloonText">
    <w:name w:val="Balloon Text"/>
    <w:basedOn w:val="Normal"/>
    <w:link w:val="BalloonTextChar"/>
    <w:uiPriority w:val="99"/>
    <w:semiHidden/>
    <w:unhideWhenUsed/>
    <w:rsid w:val="00CA34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34C2"/>
    <w:rPr>
      <w:rFonts w:ascii="Tahoma" w:hAnsi="Tahoma" w:cs="Tahoma"/>
      <w:sz w:val="16"/>
      <w:szCs w:val="16"/>
      <w:lang w:eastAsia="en-US"/>
    </w:rPr>
  </w:style>
  <w:style w:type="paragraph" w:styleId="FootnoteText">
    <w:name w:val="footnote text"/>
    <w:basedOn w:val="Normal"/>
    <w:link w:val="FootnoteTextChar"/>
    <w:uiPriority w:val="99"/>
    <w:unhideWhenUsed/>
    <w:rsid w:val="00884F21"/>
    <w:rPr>
      <w:sz w:val="20"/>
      <w:szCs w:val="20"/>
    </w:rPr>
  </w:style>
  <w:style w:type="character" w:customStyle="1" w:styleId="FootnoteTextChar">
    <w:name w:val="Footnote Text Char"/>
    <w:link w:val="FootnoteText"/>
    <w:uiPriority w:val="99"/>
    <w:rsid w:val="00884F21"/>
    <w:rPr>
      <w:lang w:eastAsia="en-US"/>
    </w:rPr>
  </w:style>
  <w:style w:type="character" w:styleId="FootnoteReference">
    <w:name w:val="footnote reference"/>
    <w:uiPriority w:val="99"/>
    <w:semiHidden/>
    <w:unhideWhenUsed/>
    <w:rsid w:val="00884F21"/>
    <w:rPr>
      <w:vertAlign w:val="superscript"/>
    </w:rPr>
  </w:style>
  <w:style w:type="paragraph" w:styleId="NormalWeb">
    <w:name w:val="Normal (Web)"/>
    <w:basedOn w:val="Normal"/>
    <w:uiPriority w:val="99"/>
    <w:unhideWhenUsed/>
    <w:rsid w:val="00AF748B"/>
    <w:pPr>
      <w:spacing w:after="0" w:line="240" w:lineRule="auto"/>
    </w:pPr>
    <w:rPr>
      <w:rFonts w:ascii="Times New Roman" w:hAnsi="Times New Roman"/>
      <w:sz w:val="24"/>
      <w:szCs w:val="24"/>
      <w:lang w:eastAsia="en-GB"/>
    </w:rPr>
  </w:style>
  <w:style w:type="paragraph" w:customStyle="1" w:styleId="paragraph">
    <w:name w:val="paragraph"/>
    <w:basedOn w:val="Normal"/>
    <w:rsid w:val="007F04E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7F04E9"/>
  </w:style>
  <w:style w:type="character" w:customStyle="1" w:styleId="eop">
    <w:name w:val="eop"/>
    <w:basedOn w:val="DefaultParagraphFont"/>
    <w:rsid w:val="007F04E9"/>
  </w:style>
  <w:style w:type="paragraph" w:styleId="BodyText">
    <w:name w:val="Body Text"/>
    <w:basedOn w:val="Normal"/>
    <w:link w:val="BodyTextChar"/>
    <w:uiPriority w:val="1"/>
    <w:semiHidden/>
    <w:unhideWhenUsed/>
    <w:qFormat/>
    <w:rsid w:val="006B34D2"/>
    <w:pPr>
      <w:autoSpaceDE w:val="0"/>
      <w:autoSpaceDN w:val="0"/>
      <w:adjustRightInd w:val="0"/>
      <w:spacing w:after="0" w:line="240" w:lineRule="auto"/>
    </w:pPr>
    <w:rPr>
      <w:rFonts w:eastAsiaTheme="minorHAnsi" w:cs="Calibri"/>
    </w:rPr>
  </w:style>
  <w:style w:type="character" w:customStyle="1" w:styleId="BodyTextChar">
    <w:name w:val="Body Text Char"/>
    <w:basedOn w:val="DefaultParagraphFont"/>
    <w:link w:val="BodyText"/>
    <w:uiPriority w:val="1"/>
    <w:semiHidden/>
    <w:rsid w:val="006B34D2"/>
    <w:rPr>
      <w:rFonts w:eastAsiaTheme="minorHAnsi" w:cs="Calibri"/>
      <w:sz w:val="22"/>
      <w:szCs w:val="22"/>
      <w:lang w:eastAsia="en-US"/>
    </w:rPr>
  </w:style>
  <w:style w:type="paragraph" w:styleId="ListParagraph">
    <w:name w:val="List Paragraph"/>
    <w:basedOn w:val="Normal"/>
    <w:uiPriority w:val="34"/>
    <w:qFormat/>
    <w:rsid w:val="006B34D2"/>
    <w:pPr>
      <w:ind w:left="720"/>
      <w:contextualSpacing/>
    </w:pPr>
  </w:style>
  <w:style w:type="character" w:customStyle="1" w:styleId="UnresolvedMention1">
    <w:name w:val="Unresolved Mention1"/>
    <w:basedOn w:val="DefaultParagraphFont"/>
    <w:uiPriority w:val="99"/>
    <w:semiHidden/>
    <w:unhideWhenUsed/>
    <w:rsid w:val="003B694C"/>
    <w:rPr>
      <w:color w:val="605E5C"/>
      <w:shd w:val="clear" w:color="auto" w:fill="E1DFDD"/>
    </w:rPr>
  </w:style>
  <w:style w:type="character" w:customStyle="1" w:styleId="UnresolvedMention2">
    <w:name w:val="Unresolved Mention2"/>
    <w:basedOn w:val="DefaultParagraphFont"/>
    <w:uiPriority w:val="99"/>
    <w:semiHidden/>
    <w:unhideWhenUsed/>
    <w:rsid w:val="00D265C2"/>
    <w:rPr>
      <w:color w:val="605E5C"/>
      <w:shd w:val="clear" w:color="auto" w:fill="E1DFDD"/>
    </w:rPr>
  </w:style>
  <w:style w:type="character" w:styleId="PlaceholderText">
    <w:name w:val="Placeholder Text"/>
    <w:basedOn w:val="DefaultParagraphFont"/>
    <w:uiPriority w:val="99"/>
    <w:semiHidden/>
    <w:rsid w:val="00C00B94"/>
    <w:rPr>
      <w:color w:val="808080"/>
    </w:rPr>
  </w:style>
  <w:style w:type="character" w:customStyle="1" w:styleId="UnresolvedMention3">
    <w:name w:val="Unresolved Mention3"/>
    <w:basedOn w:val="DefaultParagraphFont"/>
    <w:uiPriority w:val="99"/>
    <w:semiHidden/>
    <w:unhideWhenUsed/>
    <w:rsid w:val="009A75E4"/>
    <w:rPr>
      <w:color w:val="605E5C"/>
      <w:shd w:val="clear" w:color="auto" w:fill="E1DFDD"/>
    </w:rPr>
  </w:style>
  <w:style w:type="character" w:customStyle="1" w:styleId="Heading2Char">
    <w:name w:val="Heading 2 Char"/>
    <w:basedOn w:val="DefaultParagraphFont"/>
    <w:link w:val="Heading2"/>
    <w:uiPriority w:val="9"/>
    <w:rsid w:val="008260D7"/>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085">
      <w:bodyDiv w:val="1"/>
      <w:marLeft w:val="0"/>
      <w:marRight w:val="0"/>
      <w:marTop w:val="0"/>
      <w:marBottom w:val="0"/>
      <w:divBdr>
        <w:top w:val="none" w:sz="0" w:space="0" w:color="auto"/>
        <w:left w:val="none" w:sz="0" w:space="0" w:color="auto"/>
        <w:bottom w:val="none" w:sz="0" w:space="0" w:color="auto"/>
        <w:right w:val="none" w:sz="0" w:space="0" w:color="auto"/>
      </w:divBdr>
    </w:div>
    <w:div w:id="115609587">
      <w:bodyDiv w:val="1"/>
      <w:marLeft w:val="0"/>
      <w:marRight w:val="0"/>
      <w:marTop w:val="0"/>
      <w:marBottom w:val="0"/>
      <w:divBdr>
        <w:top w:val="none" w:sz="0" w:space="0" w:color="auto"/>
        <w:left w:val="none" w:sz="0" w:space="0" w:color="auto"/>
        <w:bottom w:val="none" w:sz="0" w:space="0" w:color="auto"/>
        <w:right w:val="none" w:sz="0" w:space="0" w:color="auto"/>
      </w:divBdr>
    </w:div>
    <w:div w:id="277490030">
      <w:bodyDiv w:val="1"/>
      <w:marLeft w:val="0"/>
      <w:marRight w:val="0"/>
      <w:marTop w:val="0"/>
      <w:marBottom w:val="0"/>
      <w:divBdr>
        <w:top w:val="none" w:sz="0" w:space="0" w:color="auto"/>
        <w:left w:val="none" w:sz="0" w:space="0" w:color="auto"/>
        <w:bottom w:val="none" w:sz="0" w:space="0" w:color="auto"/>
        <w:right w:val="none" w:sz="0" w:space="0" w:color="auto"/>
      </w:divBdr>
    </w:div>
    <w:div w:id="681930463">
      <w:bodyDiv w:val="1"/>
      <w:marLeft w:val="0"/>
      <w:marRight w:val="0"/>
      <w:marTop w:val="0"/>
      <w:marBottom w:val="0"/>
      <w:divBdr>
        <w:top w:val="none" w:sz="0" w:space="0" w:color="auto"/>
        <w:left w:val="none" w:sz="0" w:space="0" w:color="auto"/>
        <w:bottom w:val="none" w:sz="0" w:space="0" w:color="auto"/>
        <w:right w:val="none" w:sz="0" w:space="0" w:color="auto"/>
      </w:divBdr>
    </w:div>
    <w:div w:id="882718219">
      <w:bodyDiv w:val="1"/>
      <w:marLeft w:val="0"/>
      <w:marRight w:val="0"/>
      <w:marTop w:val="0"/>
      <w:marBottom w:val="0"/>
      <w:divBdr>
        <w:top w:val="none" w:sz="0" w:space="0" w:color="auto"/>
        <w:left w:val="none" w:sz="0" w:space="0" w:color="auto"/>
        <w:bottom w:val="none" w:sz="0" w:space="0" w:color="auto"/>
        <w:right w:val="none" w:sz="0" w:space="0" w:color="auto"/>
      </w:divBdr>
      <w:divsChild>
        <w:div w:id="309359870">
          <w:marLeft w:val="0"/>
          <w:marRight w:val="0"/>
          <w:marTop w:val="0"/>
          <w:marBottom w:val="0"/>
          <w:divBdr>
            <w:top w:val="none" w:sz="0" w:space="0" w:color="auto"/>
            <w:left w:val="none" w:sz="0" w:space="0" w:color="auto"/>
            <w:bottom w:val="none" w:sz="0" w:space="0" w:color="auto"/>
            <w:right w:val="none" w:sz="0" w:space="0" w:color="auto"/>
          </w:divBdr>
          <w:divsChild>
            <w:div w:id="765002172">
              <w:marLeft w:val="0"/>
              <w:marRight w:val="0"/>
              <w:marTop w:val="0"/>
              <w:marBottom w:val="0"/>
              <w:divBdr>
                <w:top w:val="none" w:sz="0" w:space="0" w:color="auto"/>
                <w:left w:val="none" w:sz="0" w:space="0" w:color="auto"/>
                <w:bottom w:val="none" w:sz="0" w:space="0" w:color="auto"/>
                <w:right w:val="none" w:sz="0" w:space="0" w:color="auto"/>
              </w:divBdr>
            </w:div>
          </w:divsChild>
        </w:div>
        <w:div w:id="380136222">
          <w:marLeft w:val="0"/>
          <w:marRight w:val="0"/>
          <w:marTop w:val="0"/>
          <w:marBottom w:val="0"/>
          <w:divBdr>
            <w:top w:val="none" w:sz="0" w:space="0" w:color="auto"/>
            <w:left w:val="none" w:sz="0" w:space="0" w:color="auto"/>
            <w:bottom w:val="none" w:sz="0" w:space="0" w:color="auto"/>
            <w:right w:val="none" w:sz="0" w:space="0" w:color="auto"/>
          </w:divBdr>
          <w:divsChild>
            <w:div w:id="2113356228">
              <w:marLeft w:val="0"/>
              <w:marRight w:val="0"/>
              <w:marTop w:val="0"/>
              <w:marBottom w:val="0"/>
              <w:divBdr>
                <w:top w:val="none" w:sz="0" w:space="0" w:color="auto"/>
                <w:left w:val="none" w:sz="0" w:space="0" w:color="auto"/>
                <w:bottom w:val="none" w:sz="0" w:space="0" w:color="auto"/>
                <w:right w:val="none" w:sz="0" w:space="0" w:color="auto"/>
              </w:divBdr>
            </w:div>
          </w:divsChild>
        </w:div>
        <w:div w:id="612202157">
          <w:marLeft w:val="0"/>
          <w:marRight w:val="0"/>
          <w:marTop w:val="0"/>
          <w:marBottom w:val="0"/>
          <w:divBdr>
            <w:top w:val="none" w:sz="0" w:space="0" w:color="auto"/>
            <w:left w:val="none" w:sz="0" w:space="0" w:color="auto"/>
            <w:bottom w:val="none" w:sz="0" w:space="0" w:color="auto"/>
            <w:right w:val="none" w:sz="0" w:space="0" w:color="auto"/>
          </w:divBdr>
          <w:divsChild>
            <w:div w:id="1569807694">
              <w:marLeft w:val="0"/>
              <w:marRight w:val="0"/>
              <w:marTop w:val="0"/>
              <w:marBottom w:val="0"/>
              <w:divBdr>
                <w:top w:val="none" w:sz="0" w:space="0" w:color="auto"/>
                <w:left w:val="none" w:sz="0" w:space="0" w:color="auto"/>
                <w:bottom w:val="none" w:sz="0" w:space="0" w:color="auto"/>
                <w:right w:val="none" w:sz="0" w:space="0" w:color="auto"/>
              </w:divBdr>
            </w:div>
          </w:divsChild>
        </w:div>
        <w:div w:id="882714676">
          <w:marLeft w:val="0"/>
          <w:marRight w:val="0"/>
          <w:marTop w:val="0"/>
          <w:marBottom w:val="0"/>
          <w:divBdr>
            <w:top w:val="none" w:sz="0" w:space="0" w:color="auto"/>
            <w:left w:val="none" w:sz="0" w:space="0" w:color="auto"/>
            <w:bottom w:val="none" w:sz="0" w:space="0" w:color="auto"/>
            <w:right w:val="none" w:sz="0" w:space="0" w:color="auto"/>
          </w:divBdr>
          <w:divsChild>
            <w:div w:id="171990154">
              <w:marLeft w:val="0"/>
              <w:marRight w:val="0"/>
              <w:marTop w:val="0"/>
              <w:marBottom w:val="0"/>
              <w:divBdr>
                <w:top w:val="none" w:sz="0" w:space="0" w:color="auto"/>
                <w:left w:val="none" w:sz="0" w:space="0" w:color="auto"/>
                <w:bottom w:val="none" w:sz="0" w:space="0" w:color="auto"/>
                <w:right w:val="none" w:sz="0" w:space="0" w:color="auto"/>
              </w:divBdr>
            </w:div>
          </w:divsChild>
        </w:div>
        <w:div w:id="1140151956">
          <w:marLeft w:val="0"/>
          <w:marRight w:val="0"/>
          <w:marTop w:val="0"/>
          <w:marBottom w:val="0"/>
          <w:divBdr>
            <w:top w:val="none" w:sz="0" w:space="0" w:color="auto"/>
            <w:left w:val="none" w:sz="0" w:space="0" w:color="auto"/>
            <w:bottom w:val="none" w:sz="0" w:space="0" w:color="auto"/>
            <w:right w:val="none" w:sz="0" w:space="0" w:color="auto"/>
          </w:divBdr>
          <w:divsChild>
            <w:div w:id="1187019496">
              <w:marLeft w:val="0"/>
              <w:marRight w:val="0"/>
              <w:marTop w:val="0"/>
              <w:marBottom w:val="0"/>
              <w:divBdr>
                <w:top w:val="none" w:sz="0" w:space="0" w:color="auto"/>
                <w:left w:val="none" w:sz="0" w:space="0" w:color="auto"/>
                <w:bottom w:val="none" w:sz="0" w:space="0" w:color="auto"/>
                <w:right w:val="none" w:sz="0" w:space="0" w:color="auto"/>
              </w:divBdr>
            </w:div>
          </w:divsChild>
        </w:div>
        <w:div w:id="1245871050">
          <w:marLeft w:val="0"/>
          <w:marRight w:val="0"/>
          <w:marTop w:val="0"/>
          <w:marBottom w:val="0"/>
          <w:divBdr>
            <w:top w:val="none" w:sz="0" w:space="0" w:color="auto"/>
            <w:left w:val="none" w:sz="0" w:space="0" w:color="auto"/>
            <w:bottom w:val="none" w:sz="0" w:space="0" w:color="auto"/>
            <w:right w:val="none" w:sz="0" w:space="0" w:color="auto"/>
          </w:divBdr>
          <w:divsChild>
            <w:div w:id="990718771">
              <w:marLeft w:val="0"/>
              <w:marRight w:val="0"/>
              <w:marTop w:val="0"/>
              <w:marBottom w:val="0"/>
              <w:divBdr>
                <w:top w:val="none" w:sz="0" w:space="0" w:color="auto"/>
                <w:left w:val="none" w:sz="0" w:space="0" w:color="auto"/>
                <w:bottom w:val="none" w:sz="0" w:space="0" w:color="auto"/>
                <w:right w:val="none" w:sz="0" w:space="0" w:color="auto"/>
              </w:divBdr>
            </w:div>
          </w:divsChild>
        </w:div>
        <w:div w:id="1291013067">
          <w:marLeft w:val="0"/>
          <w:marRight w:val="0"/>
          <w:marTop w:val="0"/>
          <w:marBottom w:val="0"/>
          <w:divBdr>
            <w:top w:val="none" w:sz="0" w:space="0" w:color="auto"/>
            <w:left w:val="none" w:sz="0" w:space="0" w:color="auto"/>
            <w:bottom w:val="none" w:sz="0" w:space="0" w:color="auto"/>
            <w:right w:val="none" w:sz="0" w:space="0" w:color="auto"/>
          </w:divBdr>
          <w:divsChild>
            <w:div w:id="1592926856">
              <w:marLeft w:val="0"/>
              <w:marRight w:val="0"/>
              <w:marTop w:val="0"/>
              <w:marBottom w:val="0"/>
              <w:divBdr>
                <w:top w:val="none" w:sz="0" w:space="0" w:color="auto"/>
                <w:left w:val="none" w:sz="0" w:space="0" w:color="auto"/>
                <w:bottom w:val="none" w:sz="0" w:space="0" w:color="auto"/>
                <w:right w:val="none" w:sz="0" w:space="0" w:color="auto"/>
              </w:divBdr>
            </w:div>
          </w:divsChild>
        </w:div>
        <w:div w:id="1916279332">
          <w:marLeft w:val="0"/>
          <w:marRight w:val="0"/>
          <w:marTop w:val="0"/>
          <w:marBottom w:val="0"/>
          <w:divBdr>
            <w:top w:val="none" w:sz="0" w:space="0" w:color="auto"/>
            <w:left w:val="none" w:sz="0" w:space="0" w:color="auto"/>
            <w:bottom w:val="none" w:sz="0" w:space="0" w:color="auto"/>
            <w:right w:val="none" w:sz="0" w:space="0" w:color="auto"/>
          </w:divBdr>
          <w:divsChild>
            <w:div w:id="1716927492">
              <w:marLeft w:val="0"/>
              <w:marRight w:val="0"/>
              <w:marTop w:val="0"/>
              <w:marBottom w:val="0"/>
              <w:divBdr>
                <w:top w:val="none" w:sz="0" w:space="0" w:color="auto"/>
                <w:left w:val="none" w:sz="0" w:space="0" w:color="auto"/>
                <w:bottom w:val="none" w:sz="0" w:space="0" w:color="auto"/>
                <w:right w:val="none" w:sz="0" w:space="0" w:color="auto"/>
              </w:divBdr>
            </w:div>
          </w:divsChild>
        </w:div>
        <w:div w:id="1953709575">
          <w:marLeft w:val="0"/>
          <w:marRight w:val="0"/>
          <w:marTop w:val="0"/>
          <w:marBottom w:val="0"/>
          <w:divBdr>
            <w:top w:val="none" w:sz="0" w:space="0" w:color="auto"/>
            <w:left w:val="none" w:sz="0" w:space="0" w:color="auto"/>
            <w:bottom w:val="none" w:sz="0" w:space="0" w:color="auto"/>
            <w:right w:val="none" w:sz="0" w:space="0" w:color="auto"/>
          </w:divBdr>
          <w:divsChild>
            <w:div w:id="218829782">
              <w:marLeft w:val="0"/>
              <w:marRight w:val="0"/>
              <w:marTop w:val="0"/>
              <w:marBottom w:val="0"/>
              <w:divBdr>
                <w:top w:val="none" w:sz="0" w:space="0" w:color="auto"/>
                <w:left w:val="none" w:sz="0" w:space="0" w:color="auto"/>
                <w:bottom w:val="none" w:sz="0" w:space="0" w:color="auto"/>
                <w:right w:val="none" w:sz="0" w:space="0" w:color="auto"/>
              </w:divBdr>
            </w:div>
          </w:divsChild>
        </w:div>
        <w:div w:id="2123917232">
          <w:marLeft w:val="0"/>
          <w:marRight w:val="0"/>
          <w:marTop w:val="0"/>
          <w:marBottom w:val="0"/>
          <w:divBdr>
            <w:top w:val="none" w:sz="0" w:space="0" w:color="auto"/>
            <w:left w:val="none" w:sz="0" w:space="0" w:color="auto"/>
            <w:bottom w:val="none" w:sz="0" w:space="0" w:color="auto"/>
            <w:right w:val="none" w:sz="0" w:space="0" w:color="auto"/>
          </w:divBdr>
          <w:divsChild>
            <w:div w:id="2038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242">
      <w:bodyDiv w:val="1"/>
      <w:marLeft w:val="0"/>
      <w:marRight w:val="0"/>
      <w:marTop w:val="0"/>
      <w:marBottom w:val="0"/>
      <w:divBdr>
        <w:top w:val="none" w:sz="0" w:space="0" w:color="auto"/>
        <w:left w:val="none" w:sz="0" w:space="0" w:color="auto"/>
        <w:bottom w:val="none" w:sz="0" w:space="0" w:color="auto"/>
        <w:right w:val="none" w:sz="0" w:space="0" w:color="auto"/>
      </w:divBdr>
    </w:div>
    <w:div w:id="2019573064">
      <w:bodyDiv w:val="1"/>
      <w:marLeft w:val="0"/>
      <w:marRight w:val="0"/>
      <w:marTop w:val="0"/>
      <w:marBottom w:val="0"/>
      <w:divBdr>
        <w:top w:val="none" w:sz="0" w:space="0" w:color="auto"/>
        <w:left w:val="none" w:sz="0" w:space="0" w:color="auto"/>
        <w:bottom w:val="none" w:sz="0" w:space="0" w:color="auto"/>
        <w:right w:val="none" w:sz="0" w:space="0" w:color="auto"/>
      </w:divBdr>
    </w:div>
    <w:div w:id="212133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ngtermplan.nhs.uk/online-version/chapter-4-nhs-staff-will-get-the-backing-they-need/2-expanding-the-number-of-nurses-midwives-ahps-and-other-staff/" TargetMode="External"/><Relationship Id="rId21" Type="http://schemas.openxmlformats.org/officeDocument/2006/relationships/hyperlink" Target="https://www.rpharms.com/resources/frameworks/prescribing-competency-framework/competency-framework" TargetMode="External"/><Relationship Id="rId42" Type="http://schemas.openxmlformats.org/officeDocument/2006/relationships/hyperlink" Target="https://my.cumbria.ac.uk/Student-Life/Learning/Skills-Cumbria/Need-more-help/" TargetMode="External"/><Relationship Id="rId47" Type="http://schemas.openxmlformats.org/officeDocument/2006/relationships/hyperlink" Target="https://my.cumbria.ac.uk/Student-Life/Learning/Resources/headstart/" TargetMode="External"/><Relationship Id="rId63" Type="http://schemas.openxmlformats.org/officeDocument/2006/relationships/hyperlink" Target="https://my.cumbria.ac.uk/Student-Life/Health-and-Wellbeing/Safeguarding/" TargetMode="External"/><Relationship Id="rId68" Type="http://schemas.openxmlformats.org/officeDocument/2006/relationships/hyperlink" Target="https://my.cumbria.ac.uk/Student-Life/it-media/" TargetMode="External"/><Relationship Id="rId16" Type="http://schemas.openxmlformats.org/officeDocument/2006/relationships/hyperlink" Target="https://tinyurl.com/PharmsLiP" TargetMode="External"/><Relationship Id="rId11" Type="http://schemas.openxmlformats.org/officeDocument/2006/relationships/endnotes" Target="endnotes.xml"/><Relationship Id="rId24" Type="http://schemas.openxmlformats.org/officeDocument/2006/relationships/hyperlink" Target="https://www.cumbria.ac.uk/media/university-of-cumbria-website/content-assets/public/aqs/documents/LearningTeachingAssessmentStrategy.pdf" TargetMode="External"/><Relationship Id="rId32" Type="http://schemas.openxmlformats.org/officeDocument/2006/relationships/hyperlink" Target="https://my.cumbria.ac.uk/Student-Life/Learning/Resources/Subjects/Non-Medical-Prescribing/" TargetMode="External"/><Relationship Id="rId37" Type="http://schemas.openxmlformats.org/officeDocument/2006/relationships/hyperlink" Target="https://my.cumbria.ac.uk/Student-Life/Learning/Skills-Cumbria/" TargetMode="External"/><Relationship Id="rId40" Type="http://schemas.openxmlformats.org/officeDocument/2006/relationships/hyperlink" Target="https://my.cumbria.ac.uk/Student-Life/Learning/Skills-Cumbria/Need-more-help/" TargetMode="External"/><Relationship Id="rId45" Type="http://schemas.openxmlformats.org/officeDocument/2006/relationships/hyperlink" Target="https://my.cumbria.ac.uk/Digital-Capability/" TargetMode="External"/><Relationship Id="rId53" Type="http://schemas.openxmlformats.org/officeDocument/2006/relationships/hyperlink" Target="https://my.cumbria.ac.uk/Student-Life/Learning/Skills-Cumbria/Digital-Skills/" TargetMode="External"/><Relationship Id="rId58" Type="http://schemas.openxmlformats.org/officeDocument/2006/relationships/hyperlink" Target="https://my.cumbria.ac.uk/Student-Life/Health-and-Wellbeing/Safeguarding/" TargetMode="External"/><Relationship Id="rId66" Type="http://schemas.openxmlformats.org/officeDocument/2006/relationships/hyperlink" Target="https://www.cumbria.ac.uk/student-life/facilities/it-facilities/"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cumbria.ac.uk/student-life/accommodation/" TargetMode="External"/><Relationship Id="rId19" Type="http://schemas.openxmlformats.org/officeDocument/2006/relationships/hyperlink" Target="https://www.pharmacyregulation.org/sites/default/files/document/standards-for-the-education-and-training-of-pharmacist-independent-prescribers-january-19.pdf" TargetMode="External"/><Relationship Id="rId14" Type="http://schemas.openxmlformats.org/officeDocument/2006/relationships/hyperlink" Target="https://www.cumbria.ac.uk/study/courses/postgraduate/independent-prescribing-for-pharmacists-practice-certificate-in-independent-prescribing---level-7/" TargetMode="External"/><Relationship Id="rId22" Type="http://schemas.openxmlformats.org/officeDocument/2006/relationships/hyperlink" Target="https://www.rpharms.com/Portals/0/RPS%20document%20library/Open%20access/Professional%20standards/DPP%20Framework/DPP%20competency%20framework%20Dec%202019.pdf" TargetMode="External"/><Relationship Id="rId27" Type="http://schemas.openxmlformats.org/officeDocument/2006/relationships/hyperlink" Target="http://i5health.com/NMP/NMPEconomicEvaluation.pdf" TargetMode="External"/><Relationship Id="rId30" Type="http://schemas.openxmlformats.org/officeDocument/2006/relationships/hyperlink" Target="https://my.cumbria.ac.uk/Student-Life/Learning" TargetMode="External"/><Relationship Id="rId35" Type="http://schemas.openxmlformats.org/officeDocument/2006/relationships/hyperlink" Target="https://my.cumbria.ac.uk/Student-Life/Learning/Libraries/Ask/" TargetMode="External"/><Relationship Id="rId43" Type="http://schemas.openxmlformats.org/officeDocument/2006/relationships/hyperlink" Target="https://my.cumbria.ac.uk/Student-Life/Learning/Skills-Cumbria/Learn-Well-at-Cumbria/" TargetMode="External"/><Relationship Id="rId48" Type="http://schemas.openxmlformats.org/officeDocument/2006/relationships/hyperlink" Target="https://my.cumbria.ac.uk/Student-Life/Learning/Resources/headstart/" TargetMode="External"/><Relationship Id="rId56" Type="http://schemas.openxmlformats.org/officeDocument/2006/relationships/hyperlink" Target="https://my.cumbria.ac.uk/Student-Life/Learning/" TargetMode="External"/><Relationship Id="rId64" Type="http://schemas.openxmlformats.org/officeDocument/2006/relationships/hyperlink" Target="https://eur03.safelinks.protection.outlook.com/?url=http%3A%2F%2Fwww.ucsu.me%2F&amp;data=01%7C01%7Calice.helm-alabaster%40cumbria.ac.uk%7C6f2148044d5b440a812f08d85fdaa95f%7Cb627db1d99584fd18ea48ac3b27cf00f%7C0&amp;sdata=2TIr5uuU03XI6fpVrQqHeDUSuUkWECNvQ3UldWmClyg%3D&amp;reserved=0" TargetMode="External"/><Relationship Id="rId69" Type="http://schemas.openxmlformats.org/officeDocument/2006/relationships/hyperlink" Target="https://eur03.safelinks.protection.outlook.com/?url=http%3A%2F%2Fwww.ucsu.me%2Fsupport&amp;data=01%7C01%7Calice.helm-alabaster%40cumbria.ac.uk%7C6f2148044d5b440a812f08d85fdaa95f%7Cb627db1d99584fd18ea48ac3b27cf00f%7C0&amp;sdata=QO0AnE5mLJVI%2BvxaFzasbJsexArbF2oWRbpNi9IBt4E%3D&amp;reserved=0" TargetMode="External"/><Relationship Id="rId77" Type="http://schemas.microsoft.com/office/2020/10/relationships/intelligence" Target="intelligence2.xml"/><Relationship Id="rId8" Type="http://schemas.openxmlformats.org/officeDocument/2006/relationships/settings" Target="settings.xml"/><Relationship Id="rId51" Type="http://schemas.openxmlformats.org/officeDocument/2006/relationships/hyperlink" Target="https://www.cumbria.ac.uk/student-life/student-support/chaplaincy/"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cumbria.ac.uk/study/courses/postgraduate/independent-prescribing-for-pharmacists-practice-certificate-in-independent-prescribing---level-7/" TargetMode="External"/><Relationship Id="rId17" Type="http://schemas.openxmlformats.org/officeDocument/2006/relationships/hyperlink" Target="https://www.pharmacyregulation.org/education/approved-providers-education-and-training/pharmacist-independent-prescriber-accredited-courses" TargetMode="External"/><Relationship Id="rId25" Type="http://schemas.openxmlformats.org/officeDocument/2006/relationships/hyperlink" Target="https://www.cumbria.ac.uk/about/organisation/professional-services/academic-quality-and-development/academic-regulations/" TargetMode="External"/><Relationship Id="rId33" Type="http://schemas.openxmlformats.org/officeDocument/2006/relationships/hyperlink" Target="https://my.cumbria.ac.uk/Student-Life/Learning/Libraries/" TargetMode="External"/><Relationship Id="rId38" Type="http://schemas.openxmlformats.org/officeDocument/2006/relationships/hyperlink" Target="https://uoc-advocate.symplicity.com/care_report/index.php/pid954341?" TargetMode="External"/><Relationship Id="rId46" Type="http://schemas.openxmlformats.org/officeDocument/2006/relationships/hyperlink" Target="https://my.cumbria.ac.uk/Student-Life/Learning/Linkedin-Learning/Digital-Capabilities-Pathways/" TargetMode="External"/><Relationship Id="rId59" Type="http://schemas.openxmlformats.org/officeDocument/2006/relationships/hyperlink" Target="https://my.cumbria.ac.uk/Student-Life/Learning/Skills-Cumbria/" TargetMode="External"/><Relationship Id="rId67" Type="http://schemas.openxmlformats.org/officeDocument/2006/relationships/hyperlink" Target="https://hub.cumbria.ac.uk/dashboard/student" TargetMode="External"/><Relationship Id="rId20" Type="http://schemas.openxmlformats.org/officeDocument/2006/relationships/hyperlink" Target="https://www.pharmacyregulation.org/sites/default/files/standards_for_pharmacy_professionals_may_2017_0.pdf" TargetMode="External"/><Relationship Id="rId41" Type="http://schemas.openxmlformats.org/officeDocument/2006/relationships/hyperlink" Target="https://my.cumbria.ac.uk/Student-Life/Learning/Skills-Cumbria/Need-more-help/" TargetMode="External"/><Relationship Id="rId54" Type="http://schemas.openxmlformats.org/officeDocument/2006/relationships/hyperlink" Target="https://my.cumbria.ac.uk/Student-Life/Support/Disability/" TargetMode="External"/><Relationship Id="rId62" Type="http://schemas.openxmlformats.org/officeDocument/2006/relationships/hyperlink" Target="https://www.cumbria.ac.uk/about/equality-diversity-and-inclusion/" TargetMode="External"/><Relationship Id="rId70" Type="http://schemas.openxmlformats.org/officeDocument/2006/relationships/footer" Target="footer1.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cumbria.ac.uk/study/courses/postgraduate/independent-prescribing-for-pharmacists-practice-certificate-in-independent-prescribing---level-7/" TargetMode="External"/><Relationship Id="rId23" Type="http://schemas.openxmlformats.org/officeDocument/2006/relationships/hyperlink" Target="https://www.cumbria.ac.uk/about/publications/strategic-plan/" TargetMode="External"/><Relationship Id="rId28" Type="http://schemas.openxmlformats.org/officeDocument/2006/relationships/hyperlink" Target="https://www.cochranelibrary.com/cdsr/doi/10.1002/14651858.CD011227.pub2/full" TargetMode="External"/><Relationship Id="rId36" Type="http://schemas.openxmlformats.org/officeDocument/2006/relationships/hyperlink" Target="https://my.cumbria.ac.uk/Student-Life/Learning/Skills-Cumbria/" TargetMode="External"/><Relationship Id="rId49" Type="http://schemas.openxmlformats.org/officeDocument/2006/relationships/hyperlink" Target="https://uoc-advocate.symplicity.com/care_report/index.php/pid954341?" TargetMode="External"/><Relationship Id="rId57" Type="http://schemas.openxmlformats.org/officeDocument/2006/relationships/hyperlink" Target="https://my.cumbria.ac.uk/Student-Life/Money--Finance/Money-Doctors/" TargetMode="External"/><Relationship Id="rId10" Type="http://schemas.openxmlformats.org/officeDocument/2006/relationships/footnotes" Target="footnotes.xml"/><Relationship Id="rId31" Type="http://schemas.openxmlformats.org/officeDocument/2006/relationships/hyperlink" Target="https://my.cumbria.ac.uk/Student-Life/Learning/OneSearch/" TargetMode="External"/><Relationship Id="rId44" Type="http://schemas.openxmlformats.org/officeDocument/2006/relationships/hyperlink" Target="https://my.cumbria.ac.uk/Student-Life/Learning/Resources/Studying-from-home/" TargetMode="External"/><Relationship Id="rId52" Type="http://schemas.openxmlformats.org/officeDocument/2006/relationships/hyperlink" Target="https://my.cumbria.ac.uk/Student-Life/Health-and-Wellbeing/" TargetMode="External"/><Relationship Id="rId60" Type="http://schemas.openxmlformats.org/officeDocument/2006/relationships/hyperlink" Target="https://www.cumbria.ac.uk/student-life/facilities/sports/" TargetMode="External"/><Relationship Id="rId65" Type="http://schemas.openxmlformats.org/officeDocument/2006/relationships/hyperlink" Target="mailto:studentvoice@cumbria.ac.uk" TargetMode="External"/><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cumbria.ac.uk/study/how-to-apply/accreditation-of-prior-learning-apl/" TargetMode="External"/><Relationship Id="rId18" Type="http://schemas.openxmlformats.org/officeDocument/2006/relationships/hyperlink" Target="file:///C:/Users/janine.hill/Downloads/revised-uk-quality-code-for-higher-education.pdf" TargetMode="External"/><Relationship Id="rId39" Type="http://schemas.openxmlformats.org/officeDocument/2006/relationships/hyperlink" Target="mailto:skills@cumbria.ac.uk" TargetMode="External"/><Relationship Id="rId34" Type="http://schemas.openxmlformats.org/officeDocument/2006/relationships/hyperlink" Target="https://my.cumbria.ac.uk/Student-Life/Learning/Libraries/Ask/" TargetMode="External"/><Relationship Id="rId50" Type="http://schemas.openxmlformats.org/officeDocument/2006/relationships/hyperlink" Target="https://my.cumbria.ac.uk/Student-Life/careers/" TargetMode="External"/><Relationship Id="rId55" Type="http://schemas.openxmlformats.org/officeDocument/2006/relationships/hyperlink" Target="https://www.cumbria.ac.uk/study/international-students/"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my.cumbria.ac.uk/Student-Life/New-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AE2C9D9-395E-4C8A-BB6C-5CFB8BFC3381}"/>
      </w:docPartPr>
      <w:docPartBody>
        <w:p w:rsidR="0085013B" w:rsidRDefault="0022515D">
          <w:r w:rsidRPr="007E7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neSan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5D"/>
    <w:rsid w:val="00072CFB"/>
    <w:rsid w:val="000F1D1D"/>
    <w:rsid w:val="001323B6"/>
    <w:rsid w:val="0013465D"/>
    <w:rsid w:val="00142D26"/>
    <w:rsid w:val="0022515D"/>
    <w:rsid w:val="0034550F"/>
    <w:rsid w:val="004B2A91"/>
    <w:rsid w:val="006C646E"/>
    <w:rsid w:val="007101D9"/>
    <w:rsid w:val="007D2F88"/>
    <w:rsid w:val="0085013B"/>
    <w:rsid w:val="008D6FFA"/>
    <w:rsid w:val="009D70F6"/>
    <w:rsid w:val="00A34333"/>
    <w:rsid w:val="00A67C73"/>
    <w:rsid w:val="00C17BFF"/>
    <w:rsid w:val="00CF206D"/>
    <w:rsid w:val="00D45332"/>
    <w:rsid w:val="00FE2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B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EDA0F6F3D1684B961B57B1EB170E47" ma:contentTypeVersion="6" ma:contentTypeDescription="Create a new document." ma:contentTypeScope="" ma:versionID="d0eea3d6ba585d77544fc86d5215ba14">
  <xsd:schema xmlns:xsd="http://www.w3.org/2001/XMLSchema" xmlns:xs="http://www.w3.org/2001/XMLSchema" xmlns:p="http://schemas.microsoft.com/office/2006/metadata/properties" xmlns:ns2="a30db4f7-15c6-4827-b236-e4b4ddf536c7" xmlns:ns3="765a73df-ece3-4bec-b999-31d3fdf889fe" targetNamespace="http://schemas.microsoft.com/office/2006/metadata/properties" ma:root="true" ma:fieldsID="3eb450a5ed6cfdbdfa05f922dd814510" ns2:_="" ns3:_="">
    <xsd:import namespace="a30db4f7-15c6-4827-b236-e4b4ddf536c7"/>
    <xsd:import namespace="765a73df-ece3-4bec-b999-31d3fdf889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a73df-ece3-4bec-b999-31d3fdf889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DAFAB-4293-4D7E-8EF2-A33FD33C7823}">
  <ds:schemaRefs>
    <ds:schemaRef ds:uri="http://schemas.microsoft.com/office/2006/metadata/properties"/>
    <ds:schemaRef ds:uri="http://schemas.microsoft.com/office/infopath/2007/PartnerControls"/>
    <ds:schemaRef ds:uri="a30db4f7-15c6-4827-b236-e4b4ddf536c7"/>
    <ds:schemaRef ds:uri="4f252923-ed3d-4b1c-8e00-f85ade5f8c7c"/>
  </ds:schemaRefs>
</ds:datastoreItem>
</file>

<file path=customXml/itemProps2.xml><?xml version="1.0" encoding="utf-8"?>
<ds:datastoreItem xmlns:ds="http://schemas.openxmlformats.org/officeDocument/2006/customXml" ds:itemID="{51E2CB39-4CC6-450B-8151-3A10F0F838C6}">
  <ds:schemaRefs>
    <ds:schemaRef ds:uri="http://schemas.microsoft.com/office/2006/metadata/longProperties"/>
  </ds:schemaRefs>
</ds:datastoreItem>
</file>

<file path=customXml/itemProps3.xml><?xml version="1.0" encoding="utf-8"?>
<ds:datastoreItem xmlns:ds="http://schemas.openxmlformats.org/officeDocument/2006/customXml" ds:itemID="{883D9FF9-CA6D-4938-A8A6-8A8B771CB316}">
  <ds:schemaRefs>
    <ds:schemaRef ds:uri="http://schemas.openxmlformats.org/officeDocument/2006/bibliography"/>
  </ds:schemaRefs>
</ds:datastoreItem>
</file>

<file path=customXml/itemProps4.xml><?xml version="1.0" encoding="utf-8"?>
<ds:datastoreItem xmlns:ds="http://schemas.openxmlformats.org/officeDocument/2006/customXml" ds:itemID="{BDA0EB30-CFA4-4D69-AC62-EC9CF91663BA}"/>
</file>

<file path=customXml/itemProps5.xml><?xml version="1.0" encoding="utf-8"?>
<ds:datastoreItem xmlns:ds="http://schemas.openxmlformats.org/officeDocument/2006/customXml" ds:itemID="{95CAB054-34AD-4CA1-830C-1C6DCF3CFE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8754</Words>
  <Characters>49899</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Programme Specification Template</vt:lpstr>
    </vt:vector>
  </TitlesOfParts>
  <Company>University Of Cumbria</Company>
  <LinksUpToDate>false</LinksUpToDate>
  <CharactersWithSpaces>58536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Specification Template</dc:title>
  <dc:subject/>
  <dc:creator>DSMcGregor</dc:creator>
  <cp:keywords>Programme Specification; Prog Spec; Sourse Specification; Course Design; Validation; Revalidation; Period Review; Reapproval</cp:keywords>
  <cp:lastModifiedBy>Harling, Helen</cp:lastModifiedBy>
  <cp:revision>3</cp:revision>
  <cp:lastPrinted>2014-05-02T21:28:00Z</cp:lastPrinted>
  <dcterms:created xsi:type="dcterms:W3CDTF">2022-08-10T09:50:00Z</dcterms:created>
  <dcterms:modified xsi:type="dcterms:W3CDTF">2022-08-15T09:56:00Z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Sharepoint Administrator</vt:lpwstr>
  </property>
  <property fmtid="{D5CDD505-2E9C-101B-9397-08002B2CF9AE}" pid="3" name="Order">
    <vt:lpwstr>100.000000000000</vt:lpwstr>
  </property>
  <property fmtid="{D5CDD505-2E9C-101B-9397-08002B2CF9AE}" pid="4" name="display_urn:schemas-microsoft-com:office:office#Author">
    <vt:lpwstr>DSMcGregor</vt:lpwstr>
  </property>
  <property fmtid="{D5CDD505-2E9C-101B-9397-08002B2CF9AE}" pid="5" name="URL">
    <vt:lpwstr/>
  </property>
  <property fmtid="{D5CDD505-2E9C-101B-9397-08002B2CF9AE}" pid="6" name="ContentTypeId">
    <vt:lpwstr>0x010100CBEDA0F6F3D1684B961B57B1EB170E47</vt:lpwstr>
  </property>
  <property fmtid="{D5CDD505-2E9C-101B-9397-08002B2CF9AE}" pid="7" name="SubTopics">
    <vt:lpwstr>30;#Programme Documents and Templates|effb2622-eb09-47c0-b0ca-8e57e521c385;#28;#Validation and Periodic Review|7d19a756-2bcf-4ccb-96f9-db9ffcf015a9</vt:lpwstr>
  </property>
  <property fmtid="{D5CDD505-2E9C-101B-9397-08002B2CF9AE}" pid="8" name="Categories0">
    <vt:lpwstr>5;#Forms|df2f7753-3185-4f12-9098-99b8836452ea</vt:lpwstr>
  </property>
  <property fmtid="{D5CDD505-2E9C-101B-9397-08002B2CF9AE}" pid="9" name="Topics">
    <vt:lpwstr>14;#Quality|55478ea6-426b-4a13-865c-cd6104067fe4</vt:lpwstr>
  </property>
  <property fmtid="{D5CDD505-2E9C-101B-9397-08002B2CF9AE}" pid="10" name="_ExtendedDescription">
    <vt:lpwstr/>
  </property>
  <property fmtid="{D5CDD505-2E9C-101B-9397-08002B2CF9AE}" pid="11" name="MediaServiceImageTags">
    <vt:lpwstr/>
  </property>
</Properties>
</file>